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ATAS/582/2013 vom 6. Juni 2013</w:t>
      </w:r>
    </w:p>
    <w:p>
      <w:r>
        <w:t>GE Cour de justice, 2013-06-06, FR</w:t>
      </w:r>
    </w:p>
    <w:p>
      <w:r>
        <w:rPr>
          <w:b/>
        </w:rPr>
        <w:t xml:space="preserve">Quelle: </w:t>
      </w:r>
      <w:r>
        <w:t>https://mcp.opencaselaw.ch/entscheid/ge_gerichte_ATAS_582_2013</w:t>
      </w:r>
    </w:p>
    <w:p>
      <w:r>
        <w:t>FR: GE_GERICHTE ATAS/582/2013 du 6 juin 2013</w:t>
      </w:r>
    </w:p>
    <w:p>
      <w:r>
        <w:t>IT: GE_GERICHTE ATAS/582/2013 del 6 giugno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w:t>
      </w:r>
    </w:p>
    <w:p>
      <w:r>
        <w:t>A/634/2013 - 5/10 -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c'est à bon droit que l'intimée a mis un terme à ses prestations le 2 mars 2011, respectivement le 26 octobre 2011. Concrètement, il s’agit de déterminer si un lien de causalité a subsisté, entre les problèmes de santé de la recourante et l'accident du 18 février 2011, au-delà du 2 mars 2011 et, entre les problèmes de santé et l'accident du 13 septembre 2011, au-delà du 26 octobre 2011.</w:t>
      </w:r>
    </w:p>
    <w:p>
      <w:r>
        <w:rPr>
          <w:b/>
        </w:rPr>
        <w:t>E. 5</w:t>
      </w:r>
    </w:p>
    <w:p>
      <w:r>
        <w:t>L'assurance-accidents est en principe tenue d'allouer ses prestations en cas d'accident professionnel ou non professionnel en vertu de l’art. 6 al. 1 LAA.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t>A/634/2013 - 6/10 -</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Par ailleurs,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w:t>
      </w:r>
    </w:p>
    <w:p>
      <w:r>
        <w:rPr>
          <w:b/>
        </w:rPr>
        <w:t>E. 7</w:t>
      </w:r>
    </w:p>
    <w:p>
      <w:r>
        <w:t>L'art. 36 LAA régit la responsabilité de l’assureur-accidents en cas de concours de diverses causes de dommages. Selon l’alinéa premier de cet article, les prestations pour soins, les remboursements de frais ainsi que les indemnités journalières et les allocations pour impotent ne sont pas réduits lorsque l’atteinte à la santé n’est que partiellement imputable à l’accident. Cette disposition rompt partiellement avec le principe d'une assurance causale en faveur d'une assurance finale, c'est-à-dire d'une assurance appelée à verser des prestations indépendamment de l'origine de l'événement assuré. Son application ne suppose pas que le facteur étranger à l'accident et l'événement non assuré aient causé ensemble un dommage. L'art. 36 LAA n'est en revanche pas applicable lorsque les deux facteurs ont causé des lésions sans corrélation entre elles, par</w:t>
      </w:r>
    </w:p>
    <w:p>
      <w:r>
        <w:t>A/634/2013 - 7/10 - exemple des atteintes portées à des parties différentes du corps (Jean-Maurice FRÉSARD/Margrit MOSER-SZELESS, L'assurance-accidents obligatoire, in: Soziale Sicherheit, SBVR, 2007, pp. 929-930 nn. 287 et 290). En cas d'atteinte maladive préexistante aggravée par un accident, le devoir de l'assureur-accidents d'allouer des prestations cesse lorsque l'état de santé de l'assuré est similaire à celui qui existait immédiatement avant l'accident (statu quo ante) ou s'il est parvenu au stade d'évolution qu'il aurait atteint sans l'accident (statu quo sine; RAMA 1992 n° U 142 p. 75 consid. 4b). La disparition du caractère causal de l'accident eu égard à l'atteinte à la santé de l'assuré doit être établie au degré habituel de la vraisemblance prépondérante. La simple possibilité que l'accident n'ait plus d'effet causal ne suffit pas. Dès lors qu'il s'agit dans ce contexte de la suppression du droit à des prestations, le fardeau de la preuve n'appartient pas à l'assuré mais à l'assureur (RAMA 1994 n°U206 p. 328 consid. 3b; ATFA non publié U 270/00 du 31 janvier 2001, consid. 2b). Si l'atteinte à la santé est seulement déclenchée, mais pas provoquée par l'accident, l'assurance-accidents prend en charge le syndrome douloureux lié à l'événement accidentel (ATFA non publié U 149/99 du 7 février 2000, consid. 3).</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A/634/2013 - 8/10 -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En l'espèce, la recourante est atteinte depuis au moins 2004 d’une pathologie chondrale pour laquelle elle a d'ores et déjà subi deux opérations chirurgicales dont la dernière a été pratiquée par le Dr I__________ en 2007. C’est sur ce terrain que la recourante a été victime d’un premier accident non professionnel le 18 février 2011, à la suite duquel les douleurs sont réapparues au niveau de son pied gauche. Une IRM a établi l’existence d’une lésion ostéochondrale de grade II avec une érosion complète du cartilage sous-jacent sur une surface de 5mm², des séquelles chirurgicales en périphérie de la malléole externe et un ancien arrachement osseux consolidé au niveau de l'insertion des trois faisceaux du ligament collatéral externe sur la malléole externe, diagnostics au demeurant confirmés par le Dr I__________. Le 13 septembre 2011, la recourante a été victime d’un second accident qui lui a causé des contusions sur tout le côté gauche du corps. Une nouvelle IRM a été effectuée et, cette fois, la lésion ostéochondrale du dôme astragien antéro-interne présentait un aspect plus marqué.</w:t>
      </w:r>
    </w:p>
    <w:p>
      <w:r>
        <w:t>A/634/2013 - 9/10 - Le médecin conseil de l'intimé, le Dr K__________ a émis en date du 16 août 2012 un avis basé sur l’étude des documents versés au dossier. Certes, son rapport ne saurait être qualifié de « fouillé » (il consiste - en dehors de la récapitulation des faits - en quelques lignes dans lesquelles le médecin explique que le premier évènement lui paraît relativement mineur), mais ses conclusions sont claires et corroborées par le fait que l’assurée n’a consulté que deux mois plus tard et que les clichés, tant après le premier qu’après le second évènement, n’ont mis en évidence qu’une ancienne lésion ostéochondrale, avec une discrète évolution entre les deux. En l'occurrence, aucune lésion traumatique n'a été mise en évidence. En particulier, le Dr L__________, s’il fait certes allusion au fait que l’évolution, après la seconde intervention, a été bonne, n’évoque que la lésion ostéochondrale. Il exclut toute instabilité ou anormalité au niveau des divers tendons testés autour de la cheville, indiquant seulement que la cicatrice antéro-externe est redevenue sensible après les accidents. En conséquence, il n’y a effectivement nul indice parlant en faveur d’une lésion traumatique, de sorte qu’il n’y a pas de raisons de s’écarter de l’avis - certes sommaire - du Dr K__________ selon lequel il faut considérer que le statu quo sine a été atteint six semaines après chacun des accidents et qu’au-delà, le lien de causalité entre ces derniers et les douleurs subsistant doit être nié. Au vu de ces éléments, on ne saurait en particulier exiger de l’assureur-accidents la prise en charge de la nouvelle intervention chirurgicale envisagée.</w:t>
      </w:r>
    </w:p>
    <w:p>
      <w:r>
        <w:rPr>
          <w:b/>
        </w:rPr>
        <w:t>E. 10</w:t>
      </w:r>
    </w:p>
    <w:p>
      <w:r>
        <w:t>Au vu de ce qui précède, le recours est rejeté. Pour le surplus, la procédure est gratuite (art. 61 let. a LPGA).</w:t>
      </w:r>
    </w:p>
    <w:p>
      <w:r>
        <w:t>A/634/2013 - 10/10 -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