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ATAS/582/2010 vom 26. Mai 2010</w:t>
      </w:r>
    </w:p>
    <w:p>
      <w:r>
        <w:t>GE Cour de justice, 2010-05-26, FR</w:t>
      </w:r>
    </w:p>
    <w:p>
      <w:r>
        <w:rPr>
          <w:b/>
        </w:rPr>
        <w:t xml:space="preserve">Quelle: </w:t>
      </w:r>
      <w:r>
        <w:t>https://mcp.opencaselaw.ch/entscheid/ge_gerichte_ATAS_582_2010</w:t>
      </w:r>
    </w:p>
    <w:p>
      <w:r>
        <w:t>FR: GE_GERICHTE ATAS/582/2010 du 26 mai 2010</w:t>
      </w:r>
    </w:p>
    <w:p>
      <w:r>
        <w:t>IT: GE_GERICHTE ATAS/582/2010 del 26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Est litigieuse en l’espèce la suppression de la rente entière de l’assurée dès le 30 avril 2008.</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w:t>
      </w:r>
    </w:p>
    <w:p>
      <w:r>
        <w:t>A/924/2009 - 14/25 - sensible de l’état de santé, mais aussi lorsque celui-ci est resté en soi le même, mais que ses conséquences sur la capacité de gain ont subi un changement important (cf. ATF 130 V 343 consid. 3.5).</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7</w:t>
      </w:r>
    </w:p>
    <w:p>
      <w:r>
        <w:t>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Lorsque, au stade de la procédure administrative, une expertise confiée à un médecin indépendant est établie par un spécialiste reconnu, sur la base</w:t>
      </w:r>
    </w:p>
    <w:p>
      <w:r>
        <w:t>A/924/2009 - 15/25 -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et expertises établis par les médecins des assureurs, le juge peut leur accorder pleine valeur probante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consid. 3.2). d) Le juge des assurances sociales fonde sa décision, sauf dispositions contraires de la loi, sur les faits qui, faute d’être établis de manière irréfutable, apparaissent comme les plus vraisemblables, c’est-à-dire qui présentent un degré de</w:t>
      </w:r>
    </w:p>
    <w:p>
      <w:r>
        <w:t>A/924/2009 - 16/25 -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l’intimé s’est principalement basé sur le rapport de l'examen rhumato- psychiatrique du SMR du 14 mai 2008 pour rendre sa décision. Il ressort de ce rapport que les diagnostics retenus sont des cervico-brachialgies droites chroniques persistantes et des lombopygialgies bilatérales chroniques persistantes, diagnostics ayant des répercussions sur la capacité de travail, ainsi qu'un trouble de l’adaptation, réaction dépressive prolongée,de personnalité émotionnellement labile type borderline, non décompensé, et d'un status après fulguration d’un faisceau accessoire pour maladie de Bouveret en juillet 2007. Les limitations fonctionnelles étaient liées aux cervico-brachialgies et aux lombopygialgies et concernaient le maintien permanent de la tête dans des positions immobiles prolongées, notamment en rotation droite, le déploiement régulier de force avec le membre supérieur droit, le port et le soulèvement de charges de plus de 4kg, la nécessité de pouvoir déployer de manière répétitive une pince pollici-digitale efficace, le travail en porte-à-faux statique prolongé du tronc et, enfin, le maintien prolongé de la position assise et debout, la recourante devant pouvoir changer de position au moins deux fois pas heure. Il n’existait pas de limitations fonctionnelles psychiatriques. Pour se prononcer sur la capacité de travail de la recourante, ses examinateurs se sont en se fondés notamment sur le rapport des médecins du CEMed et sur ceux du Dr G___________. Les fractures du bassin étant consolidées, celle-ci présentait, d’après les examinateurs, une capacité de travail de 100% dans une activité adaptée à ses limitations fonctionnelles somatiques dès le mois de février 2008. Ils ont précisé que l’activité de sertisseuse de pierres précieuses n’était plus exigible actuellement compte tenu de ses problèmes cervico-brachiaux droits.</w:t>
      </w:r>
    </w:p>
    <w:p>
      <w:r>
        <w:t>Ce rapport est basé sur une anamnèse familiale, professionnelle, médicale, psychosociale et psychiatrique de la recourante ainsi que sur ses plaintes, deux examens personnels et son dossier médical. Cependant, bien que les médecins du CEMed se soient exprimés sur sa capacité de travail "actuelle" d'un point de vue orthopédique, les médecins du SMR ont perdu de vue que le but des rapports de ces médecins et du Dr G___________, sur lesquels ils se basent, consistait essentiellement à se prononcer sur le lien de causalité entre les affections rhumatologiques et psychiatriques actuelles et l'accident du 1er octobre 2006, et non sur une éventuelle incapacité de travail de la recourante découlant des affections sans rapport avec l'accident, soit notamment des lésions dégénératives des articulations sacro-iliaques ou des cervico-brachialgies droites. Par ailleurs, les cervico-brachialgies et leurs exacerbations sont des troubles neurologiques, qui</w:t>
      </w:r>
    </w:p>
    <w:p>
      <w:r>
        <w:t>A/924/2009 - 17/25 - avaient engendré, dès 2005, une incapacité de travail totale de longue durée. Lors de la rédaction de leur rapport, les médecins du SMR n'avaient pas non plus connaissance du rapport neurologique de juillet 2008 du Dr A___________. Enfin, il sera encore relevé qu'on ne comprend pas très bien comment les examinateurs arrivent à conclure à une entière capacité de travail même dans une activité adaptée aux limitations fonctionnelles, alors qu'ils constatent une fragilité du membre supérieur droit et du rachis cervical et lombaire, affections qui engendraient, pour certaines d'entre elles, une incapacité de travail totale dès août 2005 ou, en tous les cas, de 50 % juste avant l'accident d'octobre 2006. Les examinateurs n'expliquent, au demeurant, pas de quelle manière ces troubles se seraient améliorés depuis lors. Il est pourtant indiqué dans leur rapport qu'il y a une cohérence satisfaisante entre les plaintes de la recourante et les constatations objectives au niveau cervical (p. 11), soit s'agissant des plaintes les plus invalidantes. Le Dr L___________ mentionne également qu'il est médicalement réaliste d'admettre l'existence d'une fragilité biomécanique du membre supérieur droit qui entraîne des limitations fonctionnelles, lesquelles s'ajoutent aux limitations fonctionnelles imputables à la problématique lombo-pelvienne.</w:t>
      </w:r>
    </w:p>
    <w:p>
      <w:r>
        <w:t>Au vu de ce qui précède, le rapport du SMR présente des incohérences et ne saurait ainsi présenter pleine valeur probante au sens où l'entend la jurisprudence.</w:t>
      </w:r>
    </w:p>
    <w:p>
      <w:r>
        <w:rPr>
          <w:b/>
        </w:rPr>
        <w:t>E. 9</w:t>
      </w:r>
    </w:p>
    <w:p>
      <w:r>
        <w:t>Le Tribunal de céans constate que les troubles de la recourante sont d'ordre psychiatrique, neurologique et orthopédique. Chaque aspect devra ainsi être examiné séparément afin de déterminer si elle était effectivement capable de travailler à 100 % dès le mois de février 2008 comme le soutient l'OAI. a) Sur le plan psychiatrique, le Dr J___________, médecin au CEMed, a retenu les diagnostics de personnalité émotionnellement labile de type borderline et de trouble de l’adaptation avec réaction dépressive prolongée depuis le mois d’octobre 2006. Il a principalement exposé que la symptomatologie psychiatrique était dominée par le trouble de la personnalité et a exclu tout syndrome de stress post-traumatique ou trouble dépressif récurrent. D’après lui, d’un point de vue psychiatrique, la recourante pouvait travailler à plein temps sans diminution de rendement, étant précisé que ses affections psychiatriques étaient actuellement peu sévères et qu’elles ne l’avaient pas empêchée de travailler par le passé. De plus, le Dr I___________ n’a pas non plus retenu, dans son rapport du 31 octobre 2007, de diminution de la capacité de travail, hormis une éventuelle baisse de rendement due à la persistance des troubles du sommeil. Ce rapport d'expertise du CEMed présente valeur probante. En effet, il comporte une anamnèse détaillée et un exposé des plaintes de la recourante, il se base sur des examens complets, les diagnostics sont clairement posés et les affections psychiatriques et somatiques ont été discutées et les conclusions motivées.</w:t>
      </w:r>
    </w:p>
    <w:p>
      <w:r>
        <w:t>A/924/2009 - 18/25 - Ainsi, les troubles psychiatriques de la recourante, lesquels avaient une influence sur sa capacité de travail dès l'accident du 1er octobre 2006, se sont améliorés et n'engendrent plus de limitations de cette capacité dès l'examen des médecins du CEMed. b) Sur le plan neurologique, le Dr A___________, neurologue, a examiné la recourante et s'est exprimé en qualité d'expert sur demande de l'assureur-accidents. Dans ce rapport, il a notamment retenu les diagnostics de cervico-brachialgies droites, status après discectomie C5-C6 avec mise en place d'une cage, de status après fracture du bassin tile B avec fracture parasymphysaire et impaction de la sacro-iliaque gauche, d'état dépressif avec trouble de la personnalité borderline, de tremblement de la tête, de cardiopathie (épisodes de tachycardie depuis de nombreuses années) et d'hypertension artérielle traitée. Il a signalé que les cervico- brachialgies droites étaient présentes depuis 2002 et qu'elles étaient accompagnées de fourmillement des doigts 2 et 3. Son évaluation objective ne montrait pas de modification de son état de santé après la survenue de l'accident. Il a expliqué que la plus grande partie des troubles actuels liés aux cervico-brachialgies n'étaient pas en relation avec l'accident et a conclu qu'elles étaient à l'origine d'une incapacité de travail totale de 100 % jusqu'à une semaine avant l'accident et de 50 % depuis lors. Cette affection justifiait encore actuellement une incapacité de travail de 50 %. Il est vrai que l'anamnèse de la recourante est très courte, toutefois, l'expert s'est fondé sur son dossier, sur ses plaintes et sur une électroneuromyographie effectuée le 11 juin 2006. Il a également exposé ses constatations objectives, a posé des diagnostics clairs et motivé ses conclusions, lesquelles sont cohérentes. Par conséquent, il doit être considéré que ce rapport présente valeur probante et que ses conclusions doivent être suivies. c) Sur le plan orthopédique, il ressort tout d’abord de l’examen des médecins du CEMed de décembre 2007 que les diagnostics étaient notamment ceux de fracture du bassin et de contusions multiples. La consolidation des factures du bassin ne semblait pas entièrement obtenue, cependant, la boiterie et les douleurs de la recourante étaient, d’après le rhumatologue, exagérées et inexplicables par les seules séquelles organiques. Sa capacité de travail était, après les médecins, nulle dans une activité debout et de 50% dans une activité assise avec de petits déplacements et sans port de charges. L’état de santé de la recourante n’était pas stabilisé d’un point de vue orthopédique, car elle n’avait pas encore pu bénéficier d’un séjour de rééducation (de trois semaines au moins), lequel était nécessaire et allait permettre d’améliorer la marche et d’évaluer la boiterie. Dans un rapport subséquent du mois de mars 2008, le Dr G___________ s’est également prononcé sur la problématique des fractures du bassin de la recourante et a noté une amélioration manifeste clinique et radiologique depuis son rapport du mois d’août 2007, les fractures étant toutes les trois consolidées. Les douleurs au niveau de la</w:t>
      </w:r>
    </w:p>
    <w:p>
      <w:r>
        <w:t>A/924/2009 - 19/25 - sacro-iliaque droite étaient dues, d’après lui, à des légions dégénératives au niveau des deux articulations sacro-iliaques et à des signes de surcharge, lesquels ressortaient de l’image radiologique. Ce médecin ne s’est pas déterminé concernant la capacité de travail de la recourante et a principalement conclu que les lésions présentes ne découlaient plus de l’accident du 1er octobre 2007, de sorte que les frais de traitement n’étaient plus en relation avec l’accident en cause. Toutefois, le spécialiste en chirurgie orthopédique du CEMed, lequel a vu la recourante deux mois avant lui, a considéré qu'elle pouvait exercer une activité à 50 % dans une activité administrative, mais qu'elle devait encore effectuer un séjour de rééducation d'au moins trois semaines pour que son état puisse être considéré comme stabilisé. Les conclusions de ce rapport, présentant pleine valeur probante, ne peuvent pas être ignorées comme l'ont fait les médecins du SMR. Il y a au contraire lieu de les suivre, attendu qu'il paraît vraisemblable que la capacité de travail de la recourante ne pouvait pas être de plus de 50 % dès 2008 d'un point de vue orthopédique, eu égard à toutes les limitations fonctionnelles relevées par les médecins du SMR et aux atteintes retenues par les médecins du CEMed et par le Dr G___________. d) Quoi qu'il en soit, le Dr A___________ a expliqué que les troubles neurologiques de la recourante ne lui permettaient que de travailler à 50 % dans une activité adaptée. Par conséquent, il doit être conclu, au degré de vraisemblance prépondérante prévu par la jurisprudence, que la recourante présente une capacité de travail de 50 % au maximum dans une activité adaptée à ses atteintes orthopédiques et neurologiques dès l'examen de février 2008 du Dr G___________, attestant d'une amélioration nette de ses atteintes orthopédiques. Partant, une amélioration de l'état de santé de la recourante est intervenue dès février 2008, de sorte que les conditions de la révision sont depuis lors remplies. e) La recourante a enfin fait valoir que son état de santé s’était péjoré depuis son incarcération en Turquie. Cette aggravation étant postérieure à la décision dont est recours, elle ne peut cependant être prise en considération. Il est toutefois loisible à la recourante de déposer le cas échéant une demande de révision de rente, dans laquelle elle devra rendre plausible l'aggravation survenue depuis la décision présentement contestée.</w:t>
      </w:r>
    </w:p>
    <w:p>
      <w:r>
        <w:rPr>
          <w:b/>
        </w:rPr>
        <w:t>E. 10</w:t>
      </w:r>
    </w:p>
    <w:p>
      <w:r>
        <w:t>Il convient encore d’examiner le degré d’invalidité de la recourante. a) L’assuré a droit à une rente entière s’il est invalide à 70% au moins, à un trois- quarts de rente s'il est invalide à 60% au moins, à une demi-rente s’il est invalide à 50% au moins, ou à un quart de rente s’il est invalide à 40% au moins (art. 28 al. 1 LAI dans sa teneur en vigueur du 1er janvier 2004 au 31 décembre 2007 et art. 28 al. 2 LAI depuis le 1er janvier 2008).</w:t>
      </w:r>
    </w:p>
    <w:p>
      <w:r>
        <w:t>A/924/2009 - 20/25 -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dans la teneur en vigueur jusqu’au 31 décembre 2007 en corrélation avec l'art. 16 LPGA ; cf. art. 28a al. 1 LAI dès le 1er janvier 2008). Dans la mesure où ces revenus ne peuvent être chiffrés exactement, ils doivent être estimés d'après les éléments connus dans le cas particulier, après quoi l'on compare entre elles les valeurs approximatives ainsi obtenues (ATF 104 V 136 consid. 2a et 2b). Pour procéder à la comparaison des revenus, il convient de se placer au moment de la naissance du droit à la rente, soit en l'occurrence en 2006, à savoir une année après le début de l’incapacité de travail significative (qui a débuté en août 2005: art. 29 al. 1 let. b aLAI), respectivement en 2008, soit l’année durant laquelle la capacité de travail de la recourante s’est améliorée.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S'agissant des indépendants, la circulaire de l'Office fédéral des assurances sociales concernant l'invalidité et l'impotence (ci-après CIIAI) prévoit que l'on examine le développement probable qu'aurait suivi l'entreprise de la personne assurée si celle- ci n'était pas devenue invalide (chiffre 3029 et 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w:t>
      </w:r>
    </w:p>
    <w:p>
      <w:r>
        <w:t>A/924/2009 - 21/25 -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(9C_236/2009 du 7 octobre 2009, arrêt I 840/81 du 26 avril 1982, in RCC 1983 p. 246; voir également arrêt 8C_748/2008 du 10 juin 2009 consid. 4). c) Dans la méthode de comparaison des revenus,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d) En vertu de l’art. 88a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w:t>
      </w:r>
    </w:p>
    <w:p>
      <w:r>
        <w:rPr>
          <w:b/>
        </w:rPr>
        <w:t>E. 11</w:t>
      </w:r>
    </w:p>
    <w:p>
      <w:r>
        <w:t>Il n’est pas contesté que du mois d’août 2005 au mois de février 2008, la recourante présentait une capacité de travail nulle dans toute activité lucrative, de sorte que son degré d’invalidité est de 100% pendant ce laps de temps. En ce qui concerne la période postérieure, il a précédemment été établi que la capacité de travail de la recourante était nulle dans sa précédente activité de</w:t>
      </w:r>
    </w:p>
    <w:p>
      <w:r>
        <w:t>A/924/2009 - 22/25 - gérante-serveuse dans un bar et de 50% dans une activité adaptée à ses atteintes orthopédiques et neurologiques, lesquelles concernent principalement le port de charges, la position debout, la position assise prolongée, les efforts avec le membre supérieur droit et le maintien d’une position immobile de la tête. La recourante, peut par ailleurs être tenue d'arrêter l'activité de gérante-serveuse et de mettre en valeur sa capacité résiduelle de travail dans une activité adaptée. Son degré d’invalidité pourra ainsi être déterminé selon la méthode ordinaire de comparaison des revenus. Compte tenu du fait que la société, dont la recourante est gérante et au sein de laquelle elle a précédemment exercé l’activité de serveuse, existe toujours et que cette société a enregistré un bénéfice de 4'195 fr. en 2002 et des pertes en 2003 et 2004, il se justifie de se fonder sur l’extrait du compte individuel de la recourante pour déterminer son revenu sans invalidité. Il en ressort qu’elle a perçu un salaire annuel moyen de 40'800 fr. durant les années 2002 à 2004, soit les trois dernières années où elle a encore exercé la profession de serveuse. Adapté à l’évolution des salaires nominaux, ce revenu sans invalidité est de 43'203 fr. 05 en 2008. En ce qui concerne son revenu d’invalide, la recourante n’ayant pas repris d’activité lucrative, il y a lieu de se référer à l’Enquête suisse sur la structure des salaires 2008 (ESS 2008). Eu égard à l’activité de substitution dans un emploi adapté à ses limitations fonctionnelles, le salaire de référence est celui auquel peuvent prétendre les femmes effectuant des activités simples et répétitives dans le secteur privé (ESS 2008, TA1, p. 11, niveau de qualification 4), soit 49'392 fr. part au 13ème salaire comprise. Ce salaire doit encore être adapté à la capacité de travail de 50% et à l'horaire de travail en 2008. Enfin, au vu des limitations fonctionnelles importantes de la recourante, il peut être tenu compte d’un abattement de 15%, de sorte qu’on obtient un revenu d’invalide de 21'831 fr. Le degré d'invalidité est ainsi de 49,47%, taux qui ouvre le droit à un quart de rente. c) En conséquence, la recourante a droit à une rente entière d’août 2006 à avril 2008, soit trois mois après l'amélioration de son état en février 2008, puis à un quart de rente.</w:t>
      </w:r>
    </w:p>
    <w:p>
      <w:r>
        <w:rPr>
          <w:b/>
        </w:rPr>
        <w:t>E. 12</w:t>
      </w:r>
    </w:p>
    <w:p>
      <w:r>
        <w:t>Enfin, en vertu de l’art. 21 al. 5 LPGA, si l’assuré subit une mesure ou une peine privative de liberté, le paiement des prestations pour perte de gain peut être partiellement ou totale suspendu à l’exception des prestations destinées à l’entretien des proches visées à l’al. 3. La recourante étant incarcérée, le droit à la rente est suspendu sauf celui aux rentes complémentaires. Il appartiendra ainsi à l'intimé de déterminer le début de l'incarcération, afin d'établir jusqu'à quand les rentes rétroactives doivent être versées.</w:t>
      </w:r>
    </w:p>
    <w:p>
      <w:r>
        <w:t>A/924/2009 - 23/25 -</w:t>
      </w:r>
    </w:p>
    <w:p>
      <w:r>
        <w:rPr>
          <w:b/>
        </w:rPr>
        <w:t>E. 13</w:t>
      </w:r>
    </w:p>
    <w:p>
      <w:r>
        <w:t>La recourante ne pouvant plus mettre en valeur toute sa capacité de travail résiduelle dans la profession exercée précédemment, elle pourrait éventuellement prétendre à une mesure d'orientation professionnelle. Toutefois, celle-ci ne fait pas l'objet du litige et pourrait de toute manière seulement être mise en œuvre après la libération de la recourante. Il lui appartiendra donc de solliciter le moment venu des mesures d'ordre professionnel, si tel est son désir.</w:t>
      </w:r>
    </w:p>
    <w:p>
      <w:r>
        <w:rPr>
          <w:b/>
        </w:rPr>
        <w:t>E. 14</w:t>
      </w:r>
    </w:p>
    <w:p>
      <w:r>
        <w:t>Au vu de ce qui précède, le recours sera partiellement admis.</w:t>
      </w:r>
    </w:p>
    <w:p>
      <w:r>
        <w:rPr>
          <w:b/>
        </w:rPr>
        <w:t>E. 15</w:t>
      </w:r>
    </w:p>
    <w:p>
      <w:r>
        <w:t>Dès lors que la recourante obtient partiellement gain de cause, l'intimé sera condamné à lui verser une indemnité de 1'000 fr. à titre de dépens.</w:t>
      </w:r>
    </w:p>
    <w:p>
      <w:r>
        <w:rPr>
          <w:b/>
        </w:rPr>
        <w:t>E. 16</w:t>
      </w:r>
    </w:p>
    <w:p>
      <w:r>
        <w:t>La procédure n'est pas gratuite en matière de contestation des prestations de l'assurance-invalidité, aux termes de l'art. 69 al. 1bis LAI. Partant, l'intimé sera condamné à un émolument de justice de 200 fr.</w:t>
      </w:r>
    </w:p>
    <w:p>
      <w:r>
        <w:t>A/924/2009 - 24/25 -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