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ATAS/581/2009 vom 19. Mai 2009</w:t>
      </w:r>
    </w:p>
    <w:p>
      <w:r>
        <w:t>GE Cour de justice, 2009-05-19, FR</w:t>
      </w:r>
    </w:p>
    <w:p>
      <w:r>
        <w:rPr>
          <w:b/>
        </w:rPr>
        <w:t xml:space="preserve">Quelle: </w:t>
      </w:r>
      <w:r>
        <w:t>https://mcp.opencaselaw.ch/entscheid/ge_gerichte_ATAS_581_2009</w:t>
      </w:r>
    </w:p>
    <w:p>
      <w:r>
        <w:t>FR: GE_GERICHTE ATAS/581/2009 du 19 mai 2009</w:t>
      </w:r>
    </w:p>
    <w:p>
      <w:r>
        <w:t>IT: GE_GERICHTE ATAS/581/2009 del 19 maggio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t>A/3903/2008 - 7/12 -</w:t>
      </w:r>
    </w:p>
    <w:p>
      <w:r>
        <w:rPr>
          <w:b/>
        </w:rPr>
        <w:t>E. 2</w:t>
      </w:r>
    </w:p>
    <w:p>
      <w:r>
        <w:t>La loi fédérale sur la partie générale du droit des assurances sociales, entrée en vigueur le 1er janvier 2003, est applicable au cas d’espèce.</w:t>
      </w:r>
    </w:p>
    <w:p>
      <w:r>
        <w:rPr>
          <w:b/>
        </w:rPr>
        <w:t>E. 3</w:t>
      </w:r>
    </w:p>
    <w:p>
      <w:r>
        <w:t>Le recours, interjeté dans les forme et délai prévus par la loi, est recevable à la forme (art. 56 et ss LPGA).</w:t>
      </w:r>
    </w:p>
    <w:p>
      <w:r>
        <w:rPr>
          <w:b/>
        </w:rPr>
        <w:t>E. 4</w:t>
      </w:r>
    </w:p>
    <w:p>
      <w:r>
        <w:t>La question litigieuse est de savoir si la recourante a droit à la prise en charge par l’intimé des frais de la formation, qu’elle a entreprise à l’Université de Genève en automne 2008, visant l’obtention du diplôme en « création de luxe et métiers de l'art ».</w:t>
      </w:r>
    </w:p>
    <w:p>
      <w:r>
        <w:rPr>
          <w:b/>
        </w:rPr>
        <w:t>E. 5</w:t>
      </w:r>
    </w:p>
    <w:p>
      <w:r>
        <w:t>Les mesures de formation au sens de la présente loi sont choisies et mises en place autant que possible selon les principes de la loi fédérale du 13 décembre 2002 sur la formation professionnelle (LFPr)2. Les mesures relatives au marché du travail et les mesures prévues par la LFPr sont coordonnées en vue de promouvoir un marché du travail homogène et transparent ». On mentionnera également que l’art. 83 de l’ordonnance fédérale, sous le titre « Prise en considération des aptitudes et des inclinations de l’assuré » et relatif à l’art. 60 précité prévoit que, lorsque l’autorité cantonale enjoint à un assuré de suivre un cours, « elle est tenue de prendre également en considération de manière appropriée, outre la situation du marché de l’emploi, les aptitudes et les inclinations de l’assuré. Avec l’accord de celui-ci, elle peut, au besoin, charger l’orientation professionnelle publique de clarifier le cas ».</w:t>
      </w:r>
    </w:p>
    <w:p>
      <w:r>
        <w:rPr>
          <w:b/>
        </w:rPr>
        <w:t>E. 6</w:t>
      </w:r>
    </w:p>
    <w:p>
      <w:r>
        <w:t>La jurisprudence fédérale a précisé que selon l'art. 1a al. 2 LACI, la loi vise à prévenir le chômage imminent, à combattre le chômage existant et à favoriser l’intégration rapide et durable des assurés dans le marché du travail, et que tel est le but des mesures dites relatives au marché du travail. Le droit aux prestations d'assurance pour la reconversion, le perfectionnement ou l'intégration</w:t>
      </w:r>
    </w:p>
    <w:p>
      <w:r>
        <w:t>A/3903/2008 - 9/12 - professionnels est lié à la situation du marché du travail: des mesures préventives ne doivent être mises en œuvre que si elles sont directement commandées par l'état de ce marché. Cette condition permet d'éviter l'allocation de prestations qui n'ont aucun rapport avec l'assurance-chômage. La loi consacre ce principe à l'art. 59 al. 2 LACI (ATFA non publié du 10 décembre 2004, C 209/04, consid. 2.2.; cf. à propos de l'ancien droit [art. 59 al. 1 et 3 aLACI]: ATF 112 V 398 consid. 1a, 111 V 271 et 400 consid. 2b; DTA 1999 n° 12 p. 65 consid. 1 et les références).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à l'art. 59 al. 2 let. a à d LACI (ATFA non publié du 10 décembre 2004, C 209/04, consid. 2.2; cf. à propos de l'ancien droit: ATF 111 V 274 et 400 s. et les références; DTA 1998 n° 39 p. 221 consid. 1b).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(à propos de l'ancien droit: ATFA non publié du 2 septembre 2004, C 176/03, consid. 3.2; ATFA non publié du 3 août 1998, C 146/97, consid. 1b/bb).</w:t>
      </w:r>
    </w:p>
    <w:p>
      <w:r>
        <w:rPr>
          <w:b/>
        </w:rPr>
        <w:t>E. 7</w:t>
      </w:r>
    </w:p>
    <w:p>
      <w:r>
        <w:t>Il n’est en l’occurrence pas contesté que la recourante remplit les conditions du droit aux prestations selon l’art. 8 LACI, ni qu’elle a droit sur le principe à une mesure de formation. L’OCE conteste, en revanche, son droit à la prise en charge de la formation entreprise, au motif que cette formation n'aurait pas pour effet d'améliorer son aptitude au placement, effectivement et substantiellement, et qu’il n'est pas établi qu'elle ait de grandes difficultés ou qu'il soit impossible qu'elle trouve un emploi sur la base des diplôme et certificats qu’elle a en main. La recourante considère, en revanche, ne plus pouvoir espérer obtenir un poste de professeur ; la formation sollicitée lui permettrait d'utiliser ses compétences et de trouver un emploi, par exemple auprès de fabricants de montres de luxe, pour la décoration ou leur publicité, ou auprès des grandes maisons de mode.</w:t>
      </w:r>
    </w:p>
    <w:p>
      <w:r>
        <w:t>A/3903/2008 - 10/12 - Tout d’abord, le Tribunal retiendra comme établi, et de renommée publique, que les espoirs de la recourante de trouver un emploi stable dans l’enseignement – en arts plastiques – dans le canton, se sont réduits au fil des ans à peau de chagrin. Les faits le démontrent puisque la recourante est au chômage depuis plusieurs années, et, malgré la régularité de ses recherches, n’a décroché, bon an mal an, que des remplacements générant des gains intermédiaires. Son placement est dès lors difficile pour des raisons inhérentes au marché de l’emploi, au sens de la loi (art. 59l al. 2 LACI). S’agissant de la formation litigieuse, le Tribunal constate que, compte tenu des informations dont disposait l’OCE et de l’idée que, tant le conseiller de la recourante que le collaborateur du SMPE, s’en faisaient, on peut comprendre le refus signifié à la recourante. Il s’agit en effet d’une formation récente, et par conséquent encore peu connue, hormis des milieux concernés. L’instruction a toutefois permis d’établir qu’il s’agit certes d'une formation assez longue, mais pas « de type plutôt général, proche d'une formation de base ». Au contraire, il s’agit d’une formation pointue, dont les candidats sont triés sur le volet en fonction du niveau d’étude, de l’expérience et de la personnalité, ainsi que de la motivation. De même, l’impression des collaborateurs de l’OCE selon laquelle le marché du luxe n'est pas un marché porteur a été battue en brèche par les témoignages. Le diplôme est, en effet porteur d’emploi, selon le responsable de la formation de la Fédération romande des entrepreneurs (FER), et a déjà débouché sur des emplois. La co-fondatrice du diplôme l’a confirmé : sur 7 personnes ayant obtenu le diplôme, 4 ont trouvé directement un emploi ou des mandats. De plus, le turnover est important dans le domaine du luxe. Les emplois à la clé sont fonction du profil du diplômé. D’ailleurs, contrairement à l’opinion du conseiller en placement, le fait que la formation en cause ait été proposée à la recourante par le CEBIG chargé de faire avec elle son bilan de compétence, est pertinent. Cela exclu qu’il s’agisse d’une simple lubie de la recourante, ou d’une formation professionnelle normale dans son cursus, ou encore d’un cours qu’elle aurait fréquenté si elle n'avait pas été au chômage, comme l’exclut le TRINUNAL FEDERAL. Ce bilan de compétence correspond, en l’occurrence, à l’incitation prévue par l’OACI, rappelée ci-dessus, en application de laquelle le conseiller de la recourante aurait pu – dû ? – « charger l’orientation professionnelle publique de clarifier le cas ».</w:t>
      </w:r>
    </w:p>
    <w:p>
      <w:r>
        <w:rPr>
          <w:b/>
        </w:rPr>
        <w:t>E. 8</w:t>
      </w:r>
    </w:p>
    <w:p>
      <w:r>
        <w:t>Ainsi, compte tenu de tous ces éléments, à savoir du cursus professionnel de la recourante et de ses formations, de la quasi-impossibilité notoire de trouver un emploi dans l’enseignement, de l’injonction fédérale de mettre l’accent sur les mesures en faveur notamment des femmes au chômage ainsi que des assurés au chômage depuis longtemps, du chômage de longue durée en l’occurrence de la recourante et de son âge, du bilan de compétence ayant permis de cibler une</w:t>
      </w:r>
    </w:p>
    <w:p>
      <w:r>
        <w:t>A/3903/2008 - 11/12 - formation, qui apparaît nécessaire et adéquate pour permettre à la recourante de sortir du chômage, enfin du type de formation, pointue, ciblée, sur mesure, qui « profile le recrutement » (cf. témoin T__________), et est porteuse d’emploi, le droit à la prise en charge de la formation en « création de luxe et métiers de l'art » doit être reconnu à la recourante. Cette mesure est spécifiquement destinée à améliorer son aptitude au placement, et est dans le droit fil de la définition légale des mesures de formation de l’art. 60l al. 1 LACI : une mesure de formation individuelle de reconversion, de perfectionnement et d’intégration. À noter que l'exigence de la proportionnalité de la mesure, en particulier de son coût, exigée par le SECO, est remplie en l'espèce. Certes, cette formation est relativement chère (9 500 F). Son coût correspond toutefois à la moyenne des formations post-grade, et ne peut être considéré comme élevé au vu de sa durée (une année universitaire). Par ailleurs, les témoins ont mentionné une moyenne de prix de formation par assuré de 2500 F à 3000 F, ce qui n'exclut par conséquent nullement l'octroi, dans certains cas particuliers, de formations plus chères. Enfin, on relèvera les économies à la clé, puisque cette formation doit permettre à la recourante de sortir du chômage, et par conséquent de raccourcir la période pendant laquelle elle bénéficie du versement d’indemnités journalières, étant précisé que 9'500 F correspondent à environ 4 mois d’indemnités.</w:t>
      </w:r>
    </w:p>
    <w:p>
      <w:r>
        <w:rPr>
          <w:b/>
        </w:rPr>
        <w:t>E. 9</w:t>
      </w:r>
    </w:p>
    <w:p>
      <w:r>
        <w:t>Par conséquent, la décision litigieuse sera annulée et le dossier renvoyé à l’OCE pour nouvelle décision au sens des considérants.</w:t>
      </w:r>
    </w:p>
    <w:p>
      <w:r>
        <w:t>A/3903/2008 - 12/12 -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