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ATAS/580/2022 vom 23. Juni 2022</w:t>
      </w:r>
    </w:p>
    <w:p>
      <w:r>
        <w:t>GE Cour de justice, 2022-06-23, FR</w:t>
      </w:r>
    </w:p>
    <w:p>
      <w:r>
        <w:rPr>
          <w:b/>
        </w:rPr>
        <w:t xml:space="preserve">Quelle: </w:t>
      </w:r>
      <w:r>
        <w:t>https://mcp.opencaselaw.ch/entscheid/ge_gerichte_ATAS_580_2022</w:t>
      </w:r>
    </w:p>
    <w:p>
      <w:r>
        <w:t>FR: GE_GERICHTE ATAS/580/2022 du 23 juin 2022</w:t>
      </w:r>
    </w:p>
    <w:p>
      <w:r>
        <w:t>IT: GE_GERICHTE ATAS/580/2022 del 23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A/1874/2021 - 10/22 -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sur la décision de l’OAI de refus de prestation invalidité du 29 avril 2021.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A/1874/2021 - 11/22 -</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7.2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w:t>
      </w:r>
    </w:p>
    <w:p>
      <w:r>
        <w:t>A/1874/2021 - 12/22 - intact (ATF 141 V 281 consid. 2.2.1 et 2.2.2 ; ATF 132 V 65 consid. 4.2.2 ; arrêt du Tribunal fédéral 9C_16/2016 du 14 juin 2016 consid. 3.2).</w:t>
      </w:r>
    </w:p>
    <w:p>
      <w:r>
        <w:rPr>
          <w:b/>
        </w:rPr>
        <w:t>E. 7.3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7.4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8</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w:t>
      </w:r>
    </w:p>
    <w:p>
      <w:r>
        <w:t>A/1874/2021 - 13/22 -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w:t>
      </w:r>
    </w:p>
    <w:p>
      <w:r>
        <w:t>A/1874/2021 - 14/22 -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9.3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9.4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4.6 ; arrêt du Tribunal fédéral 9C_301/2013 du 4 septembre 2013 consid. 3).</w:t>
      </w:r>
    </w:p>
    <w:p>
      <w:r>
        <w:rPr>
          <w:b/>
        </w:rPr>
        <w:t>E. 9.5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w:t>
      </w:r>
    </w:p>
    <w:p>
      <w:r>
        <w:t>A/1874/2021 - 15/22 -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9.6</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9.7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9.8</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w:t>
      </w:r>
    </w:p>
    <w:p>
      <w:r>
        <w:t>A/1874/2021 - 16/22 -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11.2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w:t>
      </w:r>
    </w:p>
    <w:p>
      <w:r>
        <w:t>A/1874/2021 - 17/22 -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11.3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w:t>
      </w:r>
    </w:p>
    <w:p>
      <w:r>
        <w:t>A/1874/2021 - 18/22 -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le recourant soutient que son état s’est aggravé depuis la dernière décision rendue par l’OAI, en date du 11 janvier 2019, confirmée par la chambre de céans, par arrêt du 18 avril 2019. Le recourant conteste les conclusions de l’expertise administrative bi-disciplinaire ordonnée par l’intimé et il y substitue les conclusions de ses propres médecins traitants quant à son incapacité de travail. L’OAI, de son côté, considère que l’expertise bi-disciplinaire a une valeur probante et que les conclusions des experts, selon lesquelles le recourant jouit d’une pleine capacité de travail sous réserve d’une perte de rendement de 10 %, doivent être suivies.</w:t>
      </w:r>
    </w:p>
    <w:p>
      <w:r>
        <w:rPr>
          <w:b/>
        </w:rPr>
        <w:t>E. 13.1</w:t>
      </w:r>
    </w:p>
    <w:p>
      <w:r>
        <w:t>Il convient tout d’abord d’examiner la valeur probante du rapport d’expertise du 27 janvier 2021.</w:t>
      </w:r>
    </w:p>
    <w:p>
      <w:r>
        <w:t>A/1874/2021 - 19/22 - L’examen clinique a duré deux heures pour la partie somatique et une heure quinze pour la partie psychiatrique. Les sources utilisées sont rappelées et résumées depuis l’année 1999 ; notamment, les rapports médicaux des médecins traitants et leurs conclusions. L’évaluation consensuelle rappelle que l’assuré en est à sa quatrième demande de prestation invalidité, pour les mêmes raisons, soit des douleurs cervicales et des problèmes psychologiques. Les diagnostics ayant une incidence sur la capacité de travail au plan somatique et au plan psychique sont clairement décrits, de même que la diminution de rendement liée aux douleurs cervico-lombaires chroniques stabilisées, qui est estimée à 10 %. La fréquentation d’un club de fitness au quotidien est mentionnée comme démontrant qu’il n’y a pas de réduction uniforme des activités dans tous les domaines, et les ressources de l’expertisé sont largement décrites sous chiffre 3.5 de l’expertise. Les experts exposent les raisons pour lesquelles l’assuré dispose de ressources, constatant notamment qu’il sait évoluer au sein d’un groupe, qu’il en discerne les règles et s’y adapte, notamment au sein du fitness qu’il fréquente. Son sens du contact envers les tiers est considéré comme efficient ; il a la capacité de s’affirmer, il sait défendre ses convictions sans violer les normes sociales. L’expertisé sait planifier et structurer les tâches ainsi que les activités sportives qu’il suit au quotidien, en dehors de la pandémie. Le contrôle de cohérence fait apparaître, au plan somatique, des plaintes rapportées qui ne correspondent pas à l’examen rhumatologique du jour et qui ne permettent de conclure à aucune incapacité dans tous les domaines de la vie, hormis la diminution de rendement des 10 % liée aux douleurs cervico-lombaires chroniques stabilisées actuellement. Sur le plan psychique, la principale incohérence relevée lors de l’entretien est le différentiel entre un état psychiatrique proche de la norme chez un assuré qui se perçoit incapable de pouvoir honorer toute activité professionnelle, y compris si elle est adaptée. Seule la dysthymie F34.1 est retenue avec un épisode dépressif F32. Lors de son entretien, le recourant a pu librement exprimer ses plaintes ; il a exposé son anamnèse familiale et son parcours scolaire et professionnel. Bien que divorcé, l’expertisé considère que les relations familiales sont importantes pour lui, essentiellement avec sa sœur et avec ses filles, âgées de 15 et 17 ans et qui vivent avec leur mère. Appelé à détailler une journée-type, l’expertisé a décrit se lever entre 5h et 7h, se coucher à 22h30 et dans l’intervalle faire sa toilette, son petit-déjeuner, les courses, entretenir un peu son studio et aller au fitness tous les matins, sauf pendant la période de confinement. L’après-midi, il déclare se reposer beaucoup et sortir parfois se promener. Il dit n’avoir pas besoin d’aide dans les activités de ménage et sa vie quotidienne. Aucun stress n’a été noté par les experts, ni au début, ni à la fin</w:t>
      </w:r>
    </w:p>
    <w:p>
      <w:r>
        <w:t>A/1874/2021 - 20/22 - de l’entretien, chez un assuré décrit comme étant plutôt calme, jovial, coopérant, répondant aux questions de façon tout à fait honnête et conforme aux règles habituelles. Lors de l’examen rhumatologique, le diagnostic de fibromyalgie a été écarté dès lors qu’il n’y avait pas de signes par rapport aux points permettant de poser le diagnostic. En résumé, l’assuré n’est pas limité du point de vue rhumatologique, pas plus que du point de vue psychiatrique, et l’expert rhumatologue rejoint tout à fait les conclusions de l’expertise effectuée en 2017 par le Dr I______. Sur le plan psychiatrique, il n’est pas mentionné d’idées noires ni de pulsions suicidaires. Un histrionisme et une insatisfaction médicale amènent l’expert à retenir un diagnostic de majoration de symptômes physiques, pour des raisons psychologiques F68.0. Son développement et sa scolarité sont jugés sans accroc et il est relevé qu’il dispose de nombreuses ressources.</w:t>
      </w:r>
    </w:p>
    <w:p>
      <w:r>
        <w:rPr>
          <w:b/>
        </w:rPr>
        <w:t>E. 13.2</w:t>
      </w:r>
    </w:p>
    <w:p>
      <w:r>
        <w:t>Le rapport des experts correspond en tous points aux exigences en la matière. Il a été établi en parfaite connaissance du dossier médical. Il contient en outre une anamnèse personnelle, familiale et professionnelle fouillée, et les experts ont rapporté leurs observations cliniques de manière détaillée et ont exposé, de manière convaincante, pour quelles raisons ils se ralliaient aux avis des précédents experts intervenus en 2017. Les conclusions sont, elles aussi, claires et motivées. Compte tenu de ce qui précède, la chambre de céans considère que l’expertise bi- disciplinaire du 27 janvier 2021 présente une valeur probante et qu’il n’existe aucun élément qui aurait été oublié par les experts ou qui contredirait objectivement leurs conclusions. Ce que le mandataire du recourant décrit comme de nombreuses incohérences, notamment au regard des diagnostics posés par le médecin traitant, soit le Dr G______, doit être considéré comme une appréciation différente, notamment quant à la gravité de l’épisode dépressif, étant rappelé que le médecin traitant ne fournit aucun élément objectif permettant de remettre en question l’appréciation de l’expert psychiatrique et qu’il est vraisemblable que son appréciation ait pu être influencée par les tendances de l’expertisé à exagérer ses symptômes et sa situation, comme cela a été relevé par les deux experts désignés par l’intimé. Ainsi, la chambre de céans ne saurait remettre en cause les conclusions de l’expertise ordonnée par l'administration du seul fait que le Dr G______ a une opinion contradictoire. Les médecins traitants n’ont pas fait état d'éléments objectivement vérifiables ayant été ignorés dans le cadre de l'expertise et qui seraient suffisamment pertinents pour remettre en cause les conclusions des experts, étant rappelé que le juge peut et doit tenir compte du fait que, selon l'expérience, le médecin traitant est généralement enclin, en cas de doute, à prendre parti pour son patient en raison de la relation de confiance qui l'unit à ce dernier.</w:t>
      </w:r>
    </w:p>
    <w:p>
      <w:r>
        <w:t>A/1874/2021 - 21/22 - Le grief selon lequel le médecin traitant G______ n’a pas été contacté par les experts ne permet pas de conclure à une diminution de la valeur probante de l’expertise, étant rappelé que les experts peuvent discuter avec les médecins traitants mais n’en ont pas l’obligation.</w:t>
      </w:r>
    </w:p>
    <w:p>
      <w:r>
        <w:rPr>
          <w:b/>
        </w:rPr>
        <w:t>E. 13.3</w:t>
      </w:r>
    </w:p>
    <w:p>
      <w:r>
        <w:t>Au vu de ce qui précède, la chambre de céans considère qu’il est établi au degré de la vraisemblance prépondérante que l’état de santé du recourant ne s’est pas aggravé depuis la dernière décision de l’OAI, respectivement de la chambre de céans, au point qu’une incapacité de travail durable puisse être constatée. Partant, d’autres mesures probatoires ne pourraient plus modifier cette appréciation, et il est superflu d’administrer d’autres preuves (appréciation anticipée des preuves ; ATF 145 I 167 consid. 4.1 et les références ; ATF 140 I 285 consid. 6.3.1 et les références), raison pour laquelle la conclusion préalable du recourant visant à ce qu’une expertise judiciaire psychiatrique soit ordonnée sera écartée.</w:t>
      </w:r>
    </w:p>
    <w:p>
      <w:r>
        <w:rPr>
          <w:b/>
        </w:rPr>
        <w:t>E. 14</w:t>
      </w:r>
    </w:p>
    <w:p>
      <w:r>
        <w:t>Compte tenu de ce qui précède, le recours sera rejeté.</w:t>
      </w:r>
    </w:p>
    <w:p>
      <w:r>
        <w:rPr>
          <w:b/>
        </w:rPr>
        <w:t>E. 15</w:t>
      </w:r>
    </w:p>
    <w:p>
      <w:r>
        <w:t>Il convient de renoncer à la perception d'un émolument, le recourant étant au bénéfice de l'assistance juridique (art. 69 al. 1bis LAI et 13 al. 1 du règlement sur les frais, émoluments et indemnités en procédure administrative du 30 juillet 1986 [RFPA - E 5 10.03]).</w:t>
      </w:r>
    </w:p>
    <w:p>
      <w:r>
        <w:t>***</w:t>
      </w:r>
    </w:p>
    <w:p>
      <w:r>
        <w:t>A/1874/2021 - 22/22 -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