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ATAS/57/2018 vom 24. Januar 2018</w:t>
      </w:r>
    </w:p>
    <w:p>
      <w:r>
        <w:t>GE Cour de justice, 2018-01-24, FR</w:t>
      </w:r>
    </w:p>
    <w:p>
      <w:r>
        <w:rPr>
          <w:b/>
        </w:rPr>
        <w:t xml:space="preserve">Quelle: </w:t>
      </w:r>
      <w:r>
        <w:t>https://mcp.opencaselaw.ch/entscheid/ge_gerichte_ATAS_57_2018</w:t>
      </w:r>
    </w:p>
    <w:p>
      <w:r>
        <w:t>FR: GE_GERICHTE ATAS/57/2018 du 24 janvier 2018</w:t>
      </w:r>
    </w:p>
    <w:p>
      <w:r>
        <w:t>IT: GE_GERICHTE ATAS/57/2018 del 24 gennaio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A/3413/2017 - 5/8 -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en l’occurrence la question de savoir si la recourante peut bénéficier d’une remise de l’obligation de restituer la somme de CHF 7'472.65.</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w:t>
      </w:r>
    </w:p>
    <w:p>
      <w:r>
        <w:rPr>
          <w:b/>
        </w:rPr>
        <w:t>E. 5</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w:t>
      </w:r>
    </w:p>
    <w:p>
      <w:r>
        <w:t>A/3413/2017 - 6/8 - 1971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w:t>
      </w:r>
    </w:p>
    <w:p>
      <w:r>
        <w:rPr>
          <w:b/>
        </w:rPr>
        <w:t>E. 6</w:t>
      </w:r>
    </w:p>
    <w:p>
      <w:r>
        <w:t>Selon l’art. 24 OPC-AVS/AI, l’ayant droit doit communiquer sans retard à l’organe cantonal compétent tout changement dans sa situation personnelle et toute modification sensible dans sa situation matérielle.</w:t>
      </w:r>
    </w:p>
    <w:p>
      <w:r>
        <w:rPr>
          <w:b/>
        </w:rPr>
        <w:t>E. 7</w:t>
      </w:r>
    </w:p>
    <w:p>
      <w:r>
        <w:t>En l’occurrence, il est établi par les pièces de la procédure que le SPC a appris que le fils de la recourante vivait chez cette dernière depuis 2011 à l’occasion d’une révision du dossier, effectuée en avril 2015, suite aux informations transmises par l’OCPM. La recourante ne l’en avait pas informé. Il s'agit-là d'une négligence grave, dès lors qu'elle ne s'est pas conformée à son obligation de renseigner, qu'elle ne pouvait ignorer, dans la mesure où dans sa demande de prestations complémentaires du 17 mai 2010, elle s'était engagée à informer le SPC sans retard de tout changement de sa situation personnelle, de ses revenus, de son patrimoine et de ses dépenses et celles des personnes à charge et qu'il lui avait été précisé, les</w:t>
      </w:r>
    </w:p>
    <w:p>
      <w:r>
        <w:rPr>
          <w:b/>
        </w:rPr>
        <w:t>E. 12</w:t>
      </w:r>
    </w:p>
    <w:p>
      <w:r>
        <w:t>mai 2010 et 25 février 2011, qu'elle devait informer le SPC en cas de colocation. Le fait que son fils vivait avec elle avait une incidence sur le calcul de ses prestations, puisque cela avait une incidence sur le montant de ses dépenses, le montant du loyer devant être réparti à parts égales entre toutes les personnes résidant dans l'appartement selon l'art. 16c al. 2 OPC-AVS/AI. On pouvait raisonnablement exiger de la recourante qu'elle informe le SPC du fait que son fils résidait avec elle. 8. Au vu de ce qui précède, la condition de la bonne foi ne peut être admise. L’une des deux conditions cumulatives faisant défaut, la remise ne peut être accordée à la recourante.</w:t>
      </w:r>
    </w:p>
    <w:p>
      <w:r>
        <w:t>A/3413/2017 - 7/8 - 9. Il sera rappelé à cette dernière qu’il n’y a pas lieu de revenir, dans le cadre de la présente procédure de remise, sur le bien-fondé de l’arrêt rendu le 26 septembre 2016 par la chambre de céans, qui n’a pas été contesté et qui est dès lors définitif et exécutoire. Par ailleurs, la notion de bonne foi prévue par l’art. 25 al. 1 LPGA est une notion d’ordre juridique qui ne contient aucune connotation d’ordre moral. S'il est compréhensible qu'une mère souhaite accueillir gratuitement un enfant qui se trouve dans une période difficile financièrement, il n’en reste pas moins qu’en tant que bénéficiaire des prestations complémentaires, la recourante avait des obligations qui devaient être respectées. Si son fils était dans une situation financière difficile, il lui appartenait de demander une aide financière pour lui- même. Il sera encore rappelé à la recourante qu’elle peut prendre contact par écrit avec la division financière du SPC, dans le délai de trente jours dès l’entrée en force du présent jugement, pour convenir des modalités de paiement de la somme due. 10. Infondé, le recours sera rejeté. 11. Pour le surplus, la procédure est gratuite.</w:t>
      </w:r>
    </w:p>
    <w:p>
      <w:r>
        <w:t>A/3413/2017 - 8/8 -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