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ATAS/579/2025 vom 4. August 2025</w:t>
      </w:r>
    </w:p>
    <w:p>
      <w:r>
        <w:t>GE Cour de justice, 2025-08-04, FR</w:t>
      </w:r>
    </w:p>
    <w:p>
      <w:r>
        <w:rPr>
          <w:b/>
        </w:rPr>
        <w:t xml:space="preserve">Quelle: </w:t>
      </w:r>
      <w:r>
        <w:t>https://mcp.opencaselaw.ch/entscheid/ge_gerichte_ATAS_579_2025</w:t>
      </w:r>
    </w:p>
    <w:p>
      <w:r>
        <w:t>FR: GE_GERICHTE ATAS/579/2025 du 4 août 2025</w:t>
      </w:r>
    </w:p>
    <w:p>
      <w:r>
        <w:t>IT: GE_GERICHTE ATAS/579/2025 del 4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2</w:t>
      </w:r>
    </w:p>
    <w:p>
      <w:r>
        <w:t>Le litige porte sur le bien-fondé de la décision de refus de prestations invalidité de l’OAI du 21 février 2024.</w:t>
      </w:r>
    </w:p>
    <w:p>
      <w:r>
        <w:rPr>
          <w:b/>
        </w:rPr>
        <w:t>E. 3.1</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132 V 215 consid. 3.1.1 et les références). En l’occurrence, la décision querellée se fonde sur l’état de fait réalisé au moment de la décision querellée, de sorte que les dispositions légales applicables seront citées dans leur nouvelle teneur.</w:t>
      </w:r>
    </w:p>
    <w:p>
      <w:r>
        <w:t>A/1197/2024 - 9/27 -</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w:t>
      </w:r>
    </w:p>
    <w:p>
      <w:r>
        <w:t>A/1197/2024 - 10/27 -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consid. 5.2.2 et la référence).</w:t>
      </w:r>
    </w:p>
    <w:p>
      <w:r>
        <w:rPr>
          <w:b/>
        </w:rPr>
        <w:t>E. 4.4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w:t>
      </w:r>
    </w:p>
    <w:p>
      <w:r>
        <w:t>A/1197/2024 - 11/27 -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w:t>
      </w:r>
    </w:p>
    <w:p>
      <w:r>
        <w:t>A/1197/2024 - 12/27 -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w:t>
      </w:r>
    </w:p>
    <w:p>
      <w:r>
        <w:t>A/1197/2024 - 13/27 -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w:t>
      </w:r>
    </w:p>
    <w:p>
      <w:r>
        <w:t>A/1197/2024 - 14/27 -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6</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w:t>
      </w:r>
    </w:p>
    <w:p>
      <w:r>
        <w:t>A/1197/2024 - 15/27 -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7</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8</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9.1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w:t>
      </w:r>
    </w:p>
    <w:p>
      <w:r>
        <w:t>A/1197/2024 - 16/27 -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9.2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9.3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135 V 465 consid. 4.4. et les références ; 125 V 351 consid. 3b/aa et les références).</w:t>
      </w:r>
    </w:p>
    <w:p>
      <w:r>
        <w:t>A/1197/2024 - 17/27 -</w:t>
      </w:r>
    </w:p>
    <w:p>
      <w:r>
        <w:rPr>
          <w:b/>
        </w:rPr>
        <w:t>E. 9.4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w:t>
      </w:r>
    </w:p>
    <w:p>
      <w:r>
        <w:rPr>
          <w:b/>
        </w:rPr>
        <w:t>E. 9.5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w:t>
      </w:r>
    </w:p>
    <w:p>
      <w:r>
        <w:t>A/1197/2024 - 18/27 -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9.6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w:t>
      </w:r>
    </w:p>
    <w:p>
      <w:r>
        <w:t>A/1197/2024 - 19/27 -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t>A/1197/2024 - 20/27 -</w:t>
      </w:r>
    </w:p>
    <w:p>
      <w:r>
        <w:rPr>
          <w:b/>
        </w:rPr>
        <w:t>E. 11.2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w:t>
      </w:r>
    </w:p>
    <w:p>
      <w:r>
        <w:t>A/1197/2024 - 21/27 - un principe selon lequel l’administration ou le juge devrait statuer, dans le doute, en faveur de l’assuré (ATF 126 V 319 consid. 5a).</w:t>
      </w:r>
    </w:p>
    <w:p>
      <w:r>
        <w:rPr>
          <w:b/>
        </w:rPr>
        <w:t>E. 13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122 V 157 consid. 1d).</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15.1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t>A/1197/2024 - 22/27 -</w:t>
      </w:r>
    </w:p>
    <w:p>
      <w:r>
        <w:rPr>
          <w:b/>
        </w:rPr>
        <w:t>E. 15.2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16</w:t>
      </w:r>
    </w:p>
    <w:p>
      <w:r>
        <w:t>En l’espèce, la recourante persiste dans ses conclusions, en s’appuyant notamment sur le rapport d’expertise, tout en considérant que la capacité de travail retenue par l’experte dans une activité adaptée doit être « relativisée ». L’intimé considère que le rapport d’expertise est dénué de valeur probante et persiste dans ses conclusions, en se fondant sur les avis médicaux de son SMR et notamment l’examen clinique psychiatrique effectué par le Dr E______.</w:t>
      </w:r>
    </w:p>
    <w:p>
      <w:r>
        <w:rPr>
          <w:b/>
        </w:rPr>
        <w:t>E. 16.1</w:t>
      </w:r>
    </w:p>
    <w:p>
      <w:r>
        <w:t>En premier lieu, il sied d’examiner la valeur probante du rapport d’expertise. Le rapport de l’experte correspond en tous points aux exigences en la matière. Il a été établi en parfaite connaissance du dossier médical dont les pièces sont résumées. Il contient, en outre, une anamnèse personnelle et familiale détaillée, rappelant, notamment, qu’en raison de négligences et maltraitances de son père, le service de protection des mineurs a dû intervenir alors que l’assurée était âgée de 13 ans, suite à quoi elle est partie vivre avec sa mère, en Algérie, à l’âge de 14 ans et est revenue en Suisse à l’âge de 22 ans. L’assurée a eu deux enfants, une fille née en 2020 et un fils né en 2023, mais ne vit pas avec le père. Sur le plan professionnel, l’experte a noté qu’alors qu’elle travaillait comme vendeuse pour la société de téléphonie G______, de 2013 à 2015, l’assurée a eu des conflits avec les clients et ses collègues et des moments de tension importants, en raison des objectifs de vente fixés par la hiérarchie qui ont généré un stress important. Alors qu’elle travaillait comme auxiliaire de vie à H______, de 2017 à 2018, l’assurée a stoppé son travail en raison des difficultés rencontrées au contact de personnes</w:t>
      </w:r>
    </w:p>
    <w:p>
      <w:r>
        <w:t>A/1197/2024 - 23/27 - handicapées agressives. En raison de la naissance de sa fille, en 2020, elle a quitté son dernier emploi d’aide de cantine à l’école D______. Elle aimait cet emploi, mais ne supportait pas ses collègues, qu’elle trouvait froids et distants et qui refusaient de déjeuner avec elle. Depuis lors, elle est au bénéfice de l’aide de l’hospice et n’a jamais suivi de mesures de réinsertion. Invitée à décrire une journée-type, l’expertisée mentionne se réveiller aux alentours de sept heures du matin, en même temps que son fils, puis accompagne sa fille, quatre après-midis par semaine, à la garderie. Le reste de la journée, elle s’occupe de son fils, et tente d'organiser des sorties au parc ou ailleurs, tout en décrivant avoir parfois de la peine à sortir, même après s’être préparée pour cela, qu’elle change rapidement d’avis et d’envies sur une même journée. Le soir, après le repas et le coucher des enfants, elle dit essayer d’aller se coucher tout en ayant beaucoup de difficultés à dormir en raison de ruminations. Elle se plaint de devoir se débrouiller seule pour retrouver un emploi, tout en étant prête à reprendre une activité, mais sans savoir laquelle, ni à quel taux, ni même si elle sera capable de rester, sans tout abandonner. Elle dit aimer travailler et se sentirait déçue de ne pas avoir l’aide de l’assurance-invalidité pour retrouver un stage ou un emploi adapté à sa situation. Lors de l’entretien, l’experte n’a relevé ni anhédonie, ni perte de l’élan vital, ni aboulie ou apathie, pas plus que d’idées suicidaires ou de sentiment de désespoir. L’experte note qu’il n’y a pas de troubles de l’attention et de la concentration, ni de troubles mnésiques mais que ses affects sont très modulables, avec beaucoup de pleurs à l’évocation de certains souvenirs avec son père, mais aussi des moments de sourire ainsi qu’une réactivité à l’humour. L’expertisée ne présente pas d’idées délirantes, ni de troubles de perception et présente une nosognosie concernant son trouble de la personnalité borderline. S’agissant des ressources de l’assurée, l’experte considère que, sur le plan social, elles sont faibles, l’expertisée étant principalement aidée par son frère et son beau- frère. Sur le plan mental, l’assurée cite ses enfants comme un moteur pour avancer, ne pas se laisser aller et se dit prête à reprendre une activité, tout en souhaitant un accompagnement pour cela. Sur le plan psychique, l’experte considère que l’assurée à des ressources sur le plan mental, car elle s’accroche à son suivi psychiatrique et a fait des démarches pour contacter le programme des troubles de la régulation émotionnelle et savoir si un suivi, ciblé sur le trouble de la personnalité borderline, est possible.</w:t>
      </w:r>
    </w:p>
    <w:p>
      <w:r>
        <w:rPr>
          <w:b/>
        </w:rPr>
        <w:t>E. 16.2</w:t>
      </w:r>
    </w:p>
    <w:p>
      <w:r>
        <w:t>Dans son avis médical du 16 juin 2025, le SMR relève l’absence de traitement médicamenteux et de suivi psychiatrique régulier et l’absence d’hospitalisation. Il considère que le status psychiatrique est rassurant, tout en relevant que le diagnostic d’anxiété généralisée ne devrait pas être retenu, car il n’y aurait pas de symptômes liés à une hyperactivité neurovégétative. En ce qui concerne les limitations fonctionnelles, le SMR les considère comme peu significatives, tout en relevant qu’il y aurait une discordance avec le status psychiatrique. Dès lors qu’il n’y a pas de limitations fonctionnelles significatives, le SMR s’étonne du degré de gravité</w:t>
      </w:r>
    </w:p>
    <w:p>
      <w:r>
        <w:t>A/1197/2024 - 24/27 - retenu par l’experte. Enfin, le SMR relève qu’en dépit du fait que l’experte situe le début de l’incapacité de travail au début de l’âge adulte, il constate que l’assurée a pu travailler jusqu’en 2015, après quoi elle a présenté une incapacité de travail totale puis une incapacité de travail à 50% depuis février 2017, suivie d’une pleine capacité de travail depuis mars 2017, selon l’estimation faite par l’OAI, dans le cadre d’une précédente demande de prestations invalidité, déposée en décembre 2015. S’agissant du diagnostic d’anxiété généralisée, l’experte se fonde sur le résultat du test d’anxiété GAD-7, qui relève 16 points, soit l’équivalent de symptômes sévères du trouble d’anxiété généralisée, étant rappelé que le diagnostic est, par ailleurs, partagé par le médecin psychiatre de l’assurée, le Dr B______. Bien que complété par la patiente, selon sa perception subjective, ce test semble être le standard en matière de détection du trouble d’anxiété généralisée (voir notamment l’article de la docteure Gabrielle DE TORRENTE DE LA JARA, Policlinique médicale universitaire [PMU], Lausanne, dans la Revue médicale suisse n. 113 du 30 mai 2007). En ce qui concerne le trouble borderline, le diagnostic n’est pas contesté par l’OAI dont le SMR estime que les limitations fonctionnelles ne sont pas significatives, étant rappelé que le médecin du SMR, le Dr E______, a également posé un diagnostic de trouble de la personnalité borderline. Ce dernier n’a toutefois pas retenu de limitations fonctionnelles, position sur laquelle s’appuie l’OAI. On peut s’étonner de cette conclusion, dès lors que les problèmes professionnels rencontrés par l’assurée ont eu des répercussions objectives, qui sont notamment illustrées par son parcours professionnel, ses difficultés à garder un emploi et les mauvaises relations interpersonnelles rencontrées avec les collègues de travail et la hiérarchie. Dès lors que ces difficultés sont en lien direct avec le trouble de personnalité borderline, on ne peut que suivre le raisonnement de l’experte qui considère que ledit trouble entraîne des limitations fonctionnelles dans les activités lucratives qui pourraient être exercées par l’assurée. On rappellera que les appréciations du Dr E______ ont suscité des doutes auprès de la chambre de céans, doutes qui l’ont conduite à désigner un expert psychiatre judiciaire. Le Dr E______ a, par ailleurs, relevé sur plusieurs pages (examen clinique du Dr E______ du 22 septembre 2023, p. 17 à 19), les difficultés relationnelles de l’assurée, notamment les conflits, l’impulsivité, l’instabilité émotionnelle, mais a écarté les effets du trouble sur la capacité de travail de l’assurée, principalement en raison du fait que le trouble « n’a jamais empêché l’assurée de travailler à 100% chez I______ et à 50% comme aide-cuisinière et aide garde d’enfants » (examen clinique du Dr E______, p. 18). Or, comme cela ressort clairement du rapport d’expertise judiciaire et du parcours professionnel de l’assurée, son trouble l’empêche de garder un emploi en raison des effets négatifs sur les relations avec ses collègues, la hiérarchie et la clientèle. Partant, le raisonnement du Dr E______,</w:t>
      </w:r>
    </w:p>
    <w:p>
      <w:r>
        <w:t>A/1197/2024 - 25/27 - de même que ses conclusions, échouent à atteindre le degré de la vraisemblance prépondérante.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Dès lors, les conclusions de l’experte concernant une capacité de travail de 50% dans l’activité habituelle d’aide de cuisine peuvent être suivies. S’agissant de la capacité de travail dans une activité adaptée à ses limitations fonctionnelles, l’estimation de l’experte doit être nuancée ; cette dernière considère qu’une activité à 100% serait, à terme, possible mais seulement dans le cadre d’un emploi « protégé » et pour autant que l’assurée ait suivi un traitement psychothérapeutique axé sur son trouble borderline et qu’elle puisse bénéficier de mesures de réadaptation. Si l’on suit le raisonnement de l’experte, une telle évolution demandera du temps car il faudra que l’assurée ait poursuivi régulièrement un traitement psychothérapeutique axé sur son trouble borderline, trouble qu’elle semble actuellement nier et que l’OAI considère que des mesures de réadaptation sont opportunes.</w:t>
      </w:r>
    </w:p>
    <w:p>
      <w:r>
        <w:rPr>
          <w:b/>
        </w:rPr>
        <w:t>E. 16.3</w:t>
      </w:r>
    </w:p>
    <w:p>
      <w:r>
        <w:t>Dans ces conditions, la chambre de céans considère que le rapport d’expertise judiciaire présente une pleine valeur probante. En tenant compte du fait qu’une psychothérapie fondée sur le trouble borderline n’a pas encore été commencée, la chambre de céans considère que la recourante n’est pas encore à même d’exercer une activité adaptée à 100% et retiendra une capacité de travail de 50%, dans toute activité, et ceci en raison des graves difficultés interpersonnelles et de l’impulsivité objectivement démontrées par le rapport d’expertise et par le parcours professionnel de l’assurée. Le dossier transmis par l’OAI ne contient aucune note de statut concernant le taux d’activité professionnelle et dans les travaux ménagers alors même que l’assurée a eu un premier enfant en 2020, suivi d’un deuxième en 2023, ce qui peut avoir un effet sur le taux d’activité lucrative qu’elle souhaite, ou est en mesure, d’exercer ; il faut également rappeler que l’assurée vit seule et qu’une éventuelle disponibilité du père des enfants pour garder ces derniers n’a pas été investiguée. En l’état, selon les informations contenues dans le rapport d’expertise, il semble probable que les troubles psychiques de l’assurée ne devraient pas avoir d’effet sur sa capacité à effectuer ses travaux ménagers. De même, l’OAI ayant conclu à une capacité de travail entière, n’a pas mené d’investigations sur les revenus de l’assurée. On peut toutefois admettre que le revenu avec et sans invalidité peut être établi sur la base des tableaux de l’Enquête suisse sur la structure des salaires (ESS).</w:t>
      </w:r>
    </w:p>
    <w:p>
      <w:r>
        <w:t>A/1197/2024 - 26/27 - À l’aune de ce qui précède, la cause sera renvoyée à l’OAI afin qu’il complète son instruction, notamment en fixant le taux d’activité qui pourrait être exercé par l’assurée, au regard de sa situation familiale.</w:t>
      </w:r>
    </w:p>
    <w:p>
      <w:r>
        <w:rPr>
          <w:b/>
        </w:rPr>
        <w:t>E. 17.1</w:t>
      </w:r>
    </w:p>
    <w:p>
      <w:r>
        <w:t>S’agissant des frais d’expertise, on rappellera que les frais d'une expertise judiciaire peuvent être mis à la charge de l'autorité administrative si cette dernière a procédé à une instruction présentant des lacunes ou des insuffisances caractérisées et que l'expertise judiciaire sert à pallier les manquements commis dans la phase d'instruction administrative. En d'autres mots, il doit exister un lien entre les défauts de l'instruction administrative et la nécessité de mettre en œuvre une expertise judiciaire. Dans le cas d’espèce, l’OAI a confié à son SMR le soin d’effectuer un examen psychiatrique et s’est fondé sur ses appréciations pour rendre sa décision. Il s’agit d’une façon de procéder que l’on peut qualifier de minimaliste mais qui n’atteint pas le seuil de l’insuffisance caractérisée, raison pour laquelle les frais d’expertise seront laissés à la charge de l’État.</w:t>
      </w:r>
    </w:p>
    <w:p>
      <w:r>
        <w:rPr>
          <w:b/>
        </w:rPr>
        <w:t>E. 17.2</w:t>
      </w:r>
    </w:p>
    <w:p>
      <w:r>
        <w:t>La recourante, assistée par un mandataire professionnellement qualifié et obtenant partiellement gain de cause, a ainsi droit à une indemnité à titre de participation à ses frais et dépens, que la chambre de céans fixera à CHF 3’000.- (art. 61 let. g LPGA ; art. 89H al. 3 LPA ; art. 6 du règlement sur les frais, émoluments et indemnités en procédure administrative du 30 juillet 1986 [RFPA - E 5 10.03]).</w:t>
      </w:r>
    </w:p>
    <w:p>
      <w:r>
        <w:rPr>
          <w:b/>
        </w:rPr>
        <w:t>E. 17.3</w:t>
      </w:r>
    </w:p>
    <w:p>
      <w:r>
        <w:t>Étant donné que, depuis le 1er juillet 2006, la procédure n'est plus gratuite (art. 69 al. 1bis LAI), au vu du sort du recours, il y a lieu de condamner l'intimé au paiement d'un émolument de CHF 200.-.</w:t>
      </w:r>
    </w:p>
    <w:p>
      <w:r>
        <w:t>A/1197/2024 - 27/27 -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