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ATAS/579/2014 vom 7. Mai 2014</w:t>
      </w:r>
    </w:p>
    <w:p>
      <w:r>
        <w:t>GE Cour de justice, 2014-05-07, FR</w:t>
      </w:r>
    </w:p>
    <w:p>
      <w:r>
        <w:rPr>
          <w:b/>
        </w:rPr>
        <w:t xml:space="preserve">Quelle: </w:t>
      </w:r>
      <w:r>
        <w:t>https://mcp.opencaselaw.ch/entscheid/ge_gerichte_ATAS_579_2014</w:t>
      </w:r>
    </w:p>
    <w:p>
      <w:r>
        <w:t>FR: GE_GERICHTE ATAS/579/2014 du 7 mai 2014</w:t>
      </w:r>
    </w:p>
    <w:p>
      <w:r>
        <w:t>IT: GE_GERICHTE ATAS/579/2014 del 7 maggio 2014</w:t>
      </w:r>
    </w:p>
    <w:p>
      <w:pPr>
        <w:pStyle w:val="Heading2"/>
      </w:pPr>
      <w:r>
        <w:t>Erwägungen</w:t>
      </w:r>
    </w:p>
    <w:p>
      <w:r>
        <w:rPr>
          <w:b/>
        </w:rPr>
        <w:t>E. 1</w:t>
      </w:r>
    </w:p>
    <w:p>
      <w:r>
        <w:t>a. A titre préalable, il convient de procéder à la rectification de la qualité de partie de la défenderesse. En effet, bien que le demandeur ait agi à l’encontre de la Bâloise assurances SA, son intention était en réalité d’agir contre la Bâloise vie SA, avec laquelle il a conclu un contrat d’assurance-vie. D’ailleurs, c’est la Bâloise vie SA qui a répondu à la demande et a adressé à la chambre de céans ses différentes prises de position. Par conséquent, la partie défenderesse est la Bâloise vie SA, en lieu et place de la Bâloise assurances SA. b. Pour le surplus, il sied de relever que le litige ne porte plus sur l’attestation fiscale requise par le demandeur pour son épouse, dans la mesure où le demandeur a lui-même indiqué, lors de l’audience du 3 juillet 2013, que la défenderesse la lui avait fournie en date du 7 mai 2013.</w:t>
      </w:r>
    </w:p>
    <w:p>
      <w:r>
        <w:rPr>
          <w:b/>
        </w:rPr>
        <w:t>E. 2</w:t>
      </w:r>
    </w:p>
    <w:p>
      <w:r>
        <w:t>Il convient d’examiner la compétence de la chambre de céans pour connaître du litige portant sur la détermination du montant du rachat de l’assurance-vie (pilier 3a) du recourant. a. Selon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 1ère phrase). Ce tribunal est également compétent pour les contestations avec des institutions lorsque ces contestations résultent de l’application de l’art. 82 al. 2 (al. 1 let. b). Cette disposition régit le traitement équivalent d'autres formes de prévoyance. L'art. 82</w:t>
      </w:r>
    </w:p>
    <w:p>
      <w:r>
        <w:t>A/868/2013 - 6/9 -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sur les déductions admises fiscalement pour les cotisations versées à des formes reconnues de prévoyance du 13 novembre 1985 (OPP 3; RS 831.461.3).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Ainsi, les institutions visées à l'art. 82 al. 2 LPP sont les institutions du pilier 3a, soit notamment des institutions d'assurance qui offrent des contrats de prévoyance liée au sens de l'art. 1 al. 2 OPP 3 (Ulrich MEYER/ Laurence UTTINGER, Commentaire LPP et LFLP, 2010, n. 17 ad art. 73). Les contrats ou conventions de prévoyance liée au sens de l'art. 82 LPP, affectés exclusivement et irrévocablement à la prévoyance au sens des art. 1er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ATF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Conseil fédéral relatif à la révision de la loi fédérale sur la prévoyance professionnelle vieillesse, survivants et invalidité [1ère révision LPP], FF 2000 2495 p. 2540). b.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(art. 73 de la loi fédérale sur la prévoyance professionnelle, vieillesse, survivants et invalidité du 25 juin 1982 – LPP ; RS 831.40). c. L’ouverture de l’action prévue à l’art. 73 al. 1 LPP n’est soumise, comme telle, à l’observation d’aucun délai (cf. Raymond SPIRA, Le contentieux des assurances sociales fédérales et la procédure cantonale, Recueil de jurisprudence</w:t>
      </w:r>
    </w:p>
    <w:p>
      <w:r>
        <w:t>A/868/2013 - 7/9 - neuchâteloise, 1984, p. 19 ; Hans Rudolf SCHWARZENBACH-HANHART, Die Rechtspflege nach dem BVG, SZS 1983, p. 182). d. En vertu de l’art. 92 de la loi fédérale sur le contrat d’assurance du 2 avril 1908 (LCA ; RS 221.229.1) si l'ayant droit le demande, l'assureur est tenu, dans les quatre semaines, de calculer la valeur de réduction ou de rachat de l'assurance et de la lui faire connaître. Il doit de plus, si l'ayant droit le requiert, lui fournir les données qui sont nécessaires à des experts pour calculer la valeur de réduction ou de rachat (al. 1). A la demande de l'ayant droit, la FINMA révise gratuitement ces calculs (al. 2). Si l'ayant droit demande le rachat, le prix de rachat est échu trois mois après que la demande est parvenue à l'assureur (al. 3). En vertu de l’art. 2 al. 1 let. a de la loi fédérale sur la surveillance des entreprises d’assurance du 17 décembre 2004 (LSA ; RS 861.01), sont soumises à la surveillance au sens de la présente loi les entreprises d'assurance suisses qui exercent une activité en matière d'assurance directe ou de réassurance. Conformément à l’art. 46 al. 1 LSA, la FINMA accomplit notamment les tâches suivantes: a. elle veille au respect de la législation sur la surveillance et du droit en matière d'assurance; b. elle s'assure que les entreprises d'assurance offrent la garantie d'une activité irréprochable; c. elle veille au respect du plan d'exploitation; d. elle veille à ce que les entreprises d'assurance soient solvables, constituent les provisions techniques conformément aux dispositions et gèrent et investissent leurs biens correctement; f. elle protège les assurés contre les abus commis par des entreprises d'assurance ou des intermédiaires; g. elle intervient quand il se crée une situation susceptible de porter préjudice aux assurés ou aux consommateurs.</w:t>
      </w:r>
    </w:p>
    <w:p>
      <w:r>
        <w:rPr>
          <w:b/>
        </w:rPr>
        <w:t>E. 3</w:t>
      </w:r>
    </w:p>
    <w:p>
      <w:r>
        <w:t>a. En l’occurrence, la demande a été introduite dans les formes prévues par l'art. 89B de la loi sur la procédure administrative du 12 septembre 1985 (LPA ; E 5 10). b. En outre, il résulte des dispositions légales citées ci-dessus que la chambre de céans est en principe compétente concernant les litiges opposant assurés et institutions de prévoyance et/ou d’assurance dans le cadre d’un contrat de prévoyance liée (pilier 3a), tel que conclu par le demandeur avec la défenderesse en date du 23 septembre 2002. Cependant, le litige porte spécifiquement et uniquement sur le calcul du montant du rachat de l’assurance-vie du demandeur. Or, la compétence pour se prononcer sur un tel calcul revient à la FINMA. Cela permet d’ailleurs également de respecter le secret des affaires invoqué par la défenderesse, puisque la FINMA est compétente pour la surveillance de l’assurance-vie dans le domaine de la prévoyance professionnelle (voir article 46 al. 1 LSA et http://www.finma.ch/f/finma/taetigkeiten/gb- versicherungen/lebensversicherungsaufsicht/Pages/default.aspx).</w:t>
      </w:r>
    </w:p>
    <w:p>
      <w:r>
        <w:t>Au vu de ce qui précède, la chambre de céans n’est pas compétente pour trancher le litige, de sorte que la demande doit être déclarée irrecevable. Cela étant, la cause sera transmise à la FINMA comme objet de sa compétence (art. 11 al. 3 LPA).</w:t>
      </w:r>
    </w:p>
    <w:p>
      <w:r>
        <w:t>A/868/2013 - 8/9 -</w:t>
      </w:r>
    </w:p>
    <w:p>
      <w:r>
        <w:rPr>
          <w:b/>
        </w:rPr>
        <w:t>E. 4</w:t>
      </w:r>
    </w:p>
    <w:p>
      <w:r>
        <w:t>Pour le surplus, la procédure est gratuite (art. 89H al. 1 LPA).</w:t>
      </w:r>
    </w:p>
    <w:p>
      <w:r>
        <w:t>A/868/2013 - 9/9 -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