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ATAS/579/2010 vom 25. Mai 2010</w:t>
      </w:r>
    </w:p>
    <w:p>
      <w:r>
        <w:t>GE Cour de justice, 2010-05-25, FR</w:t>
      </w:r>
    </w:p>
    <w:p>
      <w:r>
        <w:rPr>
          <w:b/>
        </w:rPr>
        <w:t xml:space="preserve">Quelle: </w:t>
      </w:r>
      <w:r>
        <w:t>https://mcp.opencaselaw.ch/entscheid/ge_gerichte_ATAS_579_2010</w:t>
      </w:r>
    </w:p>
    <w:p>
      <w:r>
        <w:t>FR: GE_GERICHTE ATAS/579/2010 du 25 mai 2010</w:t>
      </w:r>
    </w:p>
    <w:p>
      <w:r>
        <w:t>IT: GE_GERICHTE ATAS/579/2010 del 25 maggio 2010</w:t>
      </w:r>
    </w:p>
    <w:p>
      <w:pPr>
        <w:pStyle w:val="Heading2"/>
      </w:pPr>
      <w:r>
        <w:t>Regeste</w:t>
      </w:r>
    </w:p>
    <w:p>
      <w:r>
        <w:t>Résumé: Celui qui - comme en l'espèce - achète des biens immobiliers qu'il met ensuite en location, participe à des promotions de biens immobiliers et détient plusieurs fonds de rénovation, exerce une activité commerciale indépendante, en particulier au vu du nombre de transactions effectuées. Cette analyse est en outre corroborée par le fait qu'en l'espèce l'assuré s'est annoncé comme indépendant au fisc et a déclaré des revenus d'indépendant. Ainsi, dans de telles circonstances, les biens immobiliers consistent en de la fortune commerciale et les revenus en découlant sont à ce titre soumis à cotisation.</w:t>
      </w:r>
    </w:p>
    <w:p>
      <w:pPr>
        <w:pStyle w:val="Heading2"/>
      </w:pPr>
      <w:r>
        <w:t>Erwägungen</w:t>
      </w:r>
    </w:p>
    <w:p>
      <w:r>
        <w:rPr>
          <w:b/>
        </w:rPr>
        <w:t>E. 11</w:t>
      </w:r>
    </w:p>
    <w:p>
      <w:r>
        <w:t>Le produit de la vente occasionnelle d'éléments du patrimoine privé ne constitue donc pas un revenu d'une activité lucrative (RCC 1951 p. 236, 1952 p. 89, 1957 p. 360, 1961 p. 70, ATFA 1960 p. 196, RCC 1970 p. 216, ATFA 1969 p. 135, RCC 1979 pp. 270 et 425, 1984 p. 233, 1987 p. 452). La gestion d'immeubles privés n'est en principe pas considérée comme une activité à but lucratif, autant bien entendu que la nature et l'affectation des immeubles ne présentent pas un caractère commercial (RCC 1952 p. 89, 1965 pp. 36 et 507, ATFA 1965 p. 63, RCC 1974 p. 34, 1975 p. 275). Le revenu provient en revanche d'une activité lucrative lorsqu'il résulte du placement, de la jouissance ou de la mise en valeur de biens faisant partie de la fortune commerciale (RCC 1969 pp. 56 et 543, 1988 p. 539, ATF 114 V 61, VSI 1993 p. 230, 2000 p. 51, ATF 125 V 383). Le revenu provient également d'une activité lucrative lorsqu'il découle du placement de la jouissance ou de la mise en valeur systématique - débordant le cadre d'une simple gérance de fortune - de biens ou de droits qui ne sont pas formellement qualifiés de fortune commerciale (RCC 1975 p. 229, 1987 p. 314). Par exemple, le revenu tiré d'un commerce professionnel d'immeubles (RCC 1961 p. 70, ATFA 1960 p. 196, RCC 1962 p. 281, 1963 p. 404, ATFA 1963 p. 24, RCC 1969 p. 60, 1973 p. 34, ATF 98 V 88, RCC 1987 pp. 314 et 452) ainsi que le revenu (immobilier) tiré d'une simple gestion accessoire de la fortune privée sans activité à but lucratif, ce qui, en règle générale, est le cas de la location de chambres et appartements meublés, particulièrement quand les locataires bénéficient de prestations supplémentaires (RCC 1965 p. 36, 1985 p. 465, ATF 111 V 81, RCC 1987 p. 314). Ne font également pas partie du revenu de l'activité lucrative les prestations de travail effectuées par l'assuré à des fins privées, qui consistent uniquement à réduire ses dépenses et sont sans rapport avec son activité professionnelle. Par exemple, l'employé de commerce ou le maçon salarié qui effectue des travaux de construction sur son propre immeuble, travaux qui, normalement, sont confiés à des tiers, ne fournit pas de prestations propres faisant partie du revenu de l'activité lucrative (RCC 1981 p. 191, ATF 106 V 129, RCC 1969 p. 690, ATF 108 Ib 227). La contre-valeur des travaux effectués par un entrepreneur indépendant à l'immeuble qui lui appartient doit être prise en compte en tant que revenu d'une activité lucrative, pour autant que les travaux soient</w:t>
      </w:r>
    </w:p>
    <w:p>
      <w:r>
        <w:t>A/1721/2009 - 9/11 - accomplis à la charge du compte de résultat (par ex. achat de matériel, salaires des employés) (RCC 1969 p. 690, ATF 108 Ib 227).</w:t>
      </w:r>
    </w:p>
    <w:p>
      <w:r>
        <w:rPr>
          <w:b/>
        </w:rPr>
        <w:t>E. 12</w:t>
      </w:r>
    </w:p>
    <w:p>
      <w:r>
        <w:t>En l'espèce, la Caisse a considéré que l'assuré faisait bien plus que de gérer sa fortune privée en achetant des biens immobiliers qu'il mettait en location, en participant à des promotions de biens immobiliers et en détenant plusieurs fonds de rénovation. L'assuré allègue au contraire qu'il n'est qu'un simple investisseur privé, se trouvant dans une situation identique à celle qu'il aurait connue s'il avait "confié son argent à un établissement bancaire qui aurait acheté et vendu des actions pour moi".</w:t>
      </w:r>
    </w:p>
    <w:p>
      <w:r>
        <w:rPr>
          <w:b/>
        </w:rPr>
        <w:t>E. 13</w:t>
      </w:r>
    </w:p>
    <w:p>
      <w:r>
        <w:t>La Caisse s'est fondée sur le statut d'indépendant retenu par le fisc et les chiffres figurant sur les communications du 4 décembre 2008. La délimitation entre fortune commerciale et fortune privée se fait en règle générale selon le principes applicables en matière fiscale. On peut toutefois s'en écarter. Il apparaît en effet que la qualification de la fortune immobilière est en matière fiscale en principe sans importance. Du point de vue de l'AVS en revanche, il est essentiel de savoir si les actifs sont de nature commerciale ou privée, car le montant de la cotisation en dépend.</w:t>
      </w:r>
    </w:p>
    <w:p>
      <w:r>
        <w:rPr>
          <w:b/>
        </w:rPr>
        <w:t>E. 14</w:t>
      </w:r>
    </w:p>
    <w:p>
      <w:r>
        <w:t>Il y a lieu de relever que le 5 décembre 2008, l'assuré a lui-même demandé son affiliation comme personne de condition indépendante exerçant son activité dans le domaine de la promotion immobilière et le consulting. Il a à cet égard expliqué qu'à la suite de sa demande de rente AVS à fin décembre 2008, un conflit de compétence était intervenu entre la CIAM et la CCGC et qu'il n'avait rempli, partiellement, le formulaire que parce que cette dernière l'en avait prié. Force est toutefois de constater que s'il est vrai qu'il n'a pas lui-même indiqué la nature de son activité sur ce formulaire, il ne pouvait pas manquer de réaliser qu'il s'agissait d'un questionnaire d'affiliation pour personne de condition indépendante. Il n'a du reste pas réagi à réception du courrier de la Caisse lui confirmant son affiliation. Il s'est par ailleurs annoncé comme indépendant auprès du fisc et a déclaré des revenus d'indépendant. Il a produit en annexe de sa déclaration fiscale des comptes d'exploitation sur lesquels figurent des frais de téléphone ou de déplacement. La volonté de l'assuré, ou tout au moins l'apparence qu'il en a donnée, va clairement, dans ces conditions, vers la qualification de fortune commerciale. Il entend en particulier bel et bien que les déductions fiscales applicables aux revenus tirés d'une activité lucrative indépendante soient prises en considération.</w:t>
      </w:r>
    </w:p>
    <w:p>
      <w:r>
        <w:rPr>
          <w:b/>
        </w:rPr>
        <w:t>E. 15</w:t>
      </w:r>
    </w:p>
    <w:p>
      <w:r>
        <w:t>L'assuré insiste sur le fait qu'il n'a exercé concrètement aucune activité. Il s'est contenté d'acheter des biens seul ou avec d'autres personnes et de participer à</w:t>
      </w:r>
    </w:p>
    <w:p>
      <w:r>
        <w:t>A/1721/2009 - 10/11 - l'achat et au bénéfice réalisé en raison de la plus-value immobilière. Il considère qu'il n'est qu'un «bailleur de fonds».</w:t>
      </w:r>
    </w:p>
    <w:p>
      <w:r>
        <w:rPr>
          <w:b/>
        </w:rPr>
        <w:t>E. 16</w:t>
      </w:r>
    </w:p>
    <w:p>
      <w:r>
        <w:t>Force est de constater que le nombre de transactions effectuées par l'assuré de 2003 à 2007 est relativement important, de sorte que l'activité déployée ne peut plus être considéré comme occasionnelle. Il apparaît que l'assuré ne se contente pas d'acheter des biens immobiliers pour les occuper, mais dans le but de les revendre ou de les louer. Il importe en effet de constater que les immeubles revendus l'ont été deux ou trois ans au maximum après leur acquisition. Une telle durée de placement démontre l'intention, selon le TF, de vendre à des fins commerciales (RCC 1969 693). S'agissant des revenus locatifs, il y a lieu de rappeler que si les immeubles concernés appartiennent à la fortune commerciale, ces revenus sont soumis à cotisations AVS, quand bien même ils ne seraient pas tirés d'une activité indépendante. Aussi le fait que l'assuré confie la gestion des locations à une régie importe peu à cet égard. Il suffit de déterminer si les immeubles font ou non partie de la fortune commerciale. Or, tel est le cas en l'espèce.</w:t>
      </w:r>
    </w:p>
    <w:p>
      <w:r>
        <w:rPr>
          <w:b/>
        </w:rPr>
        <w:t>E. 17</w:t>
      </w:r>
    </w:p>
    <w:p>
      <w:r>
        <w:t>Force est de constater, au vu de ce qui précède, que l'argumentation du recourant n'est pas suffisante pour s'écarter de la qualification retenue par les autorités fiscales et pour mettre en doute l'exactitude des communications fiscales sur lesquelles s'est fondée la Caisse. Aussi le recours est-il rejeté.</w:t>
      </w:r>
    </w:p>
    <w:p>
      <w:r>
        <w:t>A/1721/2009 - 11/11 -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