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ATAS/577/2019 vom 26. Juni 2019</w:t>
      </w:r>
    </w:p>
    <w:p>
      <w:r>
        <w:t>GE Cour de justice, 2019-06-26, FR</w:t>
      </w:r>
    </w:p>
    <w:p>
      <w:r>
        <w:rPr>
          <w:b/>
        </w:rPr>
        <w:t xml:space="preserve">Quelle: </w:t>
      </w:r>
      <w:r>
        <w:t>https://mcp.opencaselaw.ch/entscheid/ge_gerichte_ATAS_577_2019</w:t>
      </w:r>
    </w:p>
    <w:p>
      <w:r>
        <w:t>FR: GE_GERICHTE ATAS/577/2019 du 26 juin 2019</w:t>
      </w:r>
    </w:p>
    <w:p>
      <w:r>
        <w:t>IT: GE_GERICHTE ATAS/577/2019 del 26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entière dès septembre 2011.</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notion d'invalidité, au sens du droit des assurances sociales, est une notion économique et non médicale; ce sont les conséquences économiques objectives de l'incapacité fonctionnelle qu'il importe d'évaluer (ATF 110 V 273 consid. 4a).</w:t>
      </w:r>
    </w:p>
    <w:p>
      <w:r>
        <w:t>A/1260/2016 - 12/18 -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sont les suivants : a.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w:t>
      </w:r>
    </w:p>
    <w:p>
      <w:r>
        <w:t>A/1260/2016 - 13/18 -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A/1260/2016 - 14/18 -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A/1260/2016 - 15/18 -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w:t>
      </w:r>
    </w:p>
    <w:p>
      <w:r>
        <w:t>A/1260/2016 - 16/18 -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rPr>
          <w:b/>
        </w:rPr>
        <w:t>E. 10</w:t>
      </w:r>
    </w:p>
    <w:p>
      <w:r>
        <w:t>En l’espèce, l’expertise du Dr K_______ répond à tous les réquisits pour se voir reconnaître une pleine valeur probante. Elle repose sur un dossier médical aussi complet que possible, trois rencontres avec l’expertisé et une avec le psychiatre de celui-ci. L’assuré a également fait l’objet d’une évaluation psychologique et neuropsychologique. L’analyse du cas est fouillée et détaillée et les conclusions de l’expert sont globalement convaincantes. L’intimé conteste la valeur probante de l’expertise du Dr K_______ en faisant valoir que celui-ci ne s’est pas conformé à l’examen des indicateurs. Ce grief doit être écarté, dès lors que le contenu de l’expertise est assez détaillé pour permettre de constater que ses conclusions sont compatibles avec une analyse du cas selon les indicateurs développés par le Tribunal fédéral. Il ressort en effet des faits relatés dans le rapport d’expertise que le recourant est gravement atteint dans sa santé psychique. L’expert a, en particulier, lui-même constaté, lors de ses entretiens avec lui, son état confusionnel et ses idées délirantes de persécution. Il a relevé également une grande détresse émotionnelle. Si le recourant a interrompu ses traitements médicaux, cela apparaît clairement en lien avec les troubles psychiques dont il souffre, et en particulier sa paranoïa envers les médecins, ce qui ressort du rapport du Dr I_______ du 13 avril 2016, jugé convaincant par l’expert. Ce dernier a précisé que l’influence des toxiques était un facteur comorbide aggravant le trouble de l’assuré. Les tests de personnalité effectués ont mis en évidence un dysfonctionnement important de la pensée de celui-ci, avec une présence de délires paranoïaques et des hallucinations, de sorte que le recourant ne dispose manifestement pas de ressources internes pour travailler. Il ne bénéficie pas non plus de ressources extérieures, ses contacts sociaux étant réduits au minimum. Son atteinte à la santé le limite tant sur le plan professionnel, puisqu’il ne peut pas travailler depuis des années, que sur le plan privé, dès lors qu’il n’a que peu de vie sociale et pas d’intérêts pour d’autres activités de loisirs. Ainsi, l’analyse des indicateurs développés par le Tribunal fédéral permet de confirmer que la maladie psychique du recourant est invalidante. L’intimé a encore fait valoir que l’expertise avait pris beaucoup de temps. Cela ne saurait remettre en cause sa valeur probante, car il ressort de son rapport que l’expert a procédé à une analyse très scrupuleuse du cas. S’agissant du diagnostic, l’expert a expliqué comment il l’avait posé, en se référant aux rapports médicaux figurant au dossier et à ses propres observations, notamment. Il a précisé que l’influence des toxiques était seulement un facteur</w:t>
      </w:r>
    </w:p>
    <w:p>
      <w:r>
        <w:t>A/1260/2016 - 17/18 - comorbide aggravant le trouble de l’assuré et ses conclusions à cet égard sont fondées sur l’ensemble du dossier médical de l’expertisé, complété par un examen biologique. Les critiques formulées par l’intimé ne remettent pas sérieusement en cause les conclusions de l’expert. Celui-ci s’est prononcé, de manière certes nuancée mais claire, quant à la capacité de travail de l’assuré, en retenant qu’elle était nulle dans toute activité, avec possibilité d’amélioration à l’avenir, dans une activité adaptée. L’on peut certes s’étonner des commentaires faits par l’expert quant aux conclusions du Dr J_______, car, contrairement à ce qu’il a indiqué, les deux experts n’ont pas eu la même analyse du cas, tant sur le diagnostic que la capacité de travail. Le Dr K_______ a expliqué en quoi l’appréciation du Dr J_______ rejoignait la sienne, dans le sens qu’il avait « ouvert » la discussion vers un trouble psychotique. Il a en outre relevé que la situation était plus claire au moment de sa propre expertise, dès lors que l’état de santé de l’expertisé s’était dégradé, ce qui pouvait expliquer des conclusions différentes, mais pas forcément divergentes. Au final, si les commentaires faits par le Dr K_______ sur les conclusions du Dr J_______ apparaissent contradictoires par rapport à son analyse du cas, ils ne sont pas de nature à remettre en cause son rapport d’expertise dans son ensemble, qui est globalement convaincante. On peut raisonnablement penser que le Dr K_______ ne souhaitait pas critiquer le travail d’un confrère. Il ne fait pas de doute que le Dr K_______ a été davantage convaincu par les rapports du Dr I_______ que par celui du Dr J_______, à la lecture de son appréciation du cas. Il y a ainsi lieu de reconnaître une pleine valeur probante à l’expertise du Dr K_______. Sur cette base, il convient de retenir que le recourant est en totale incapacité de travail dès le 29 avril 2014. Il en résulte que le droit à une rente entière d’invalidité du recourant a pris naissance un an plus tard, soit le 29 avril 2015. Le recourant ayant formé sa demande de prestations le 19 juillet 2013, le droit au versement de la rente est né le 1er avril 2015, soit dès le début du mois au cours duquel son droit a pris naissance (art. 29 al. 3 LAI).</w:t>
      </w:r>
    </w:p>
    <w:p>
      <w:r>
        <w:rPr>
          <w:b/>
        </w:rPr>
        <w:t>E. 11</w:t>
      </w:r>
    </w:p>
    <w:p>
      <w:r>
        <w:t>Au vu de ce qui précède, le recours est partiellement admis – étant rappelé que le recourant concluait à l’octroi d’une rente d’invalidité entière d’invalidité dès septembre 2011 – la décision du 8 mars 2016 sera annulée et il sera dit que le recourant a droit à une rente entière d’invalidité dès le 1er avril 2015.</w:t>
      </w:r>
    </w:p>
    <w:p>
      <w:r>
        <w:rPr>
          <w:b/>
        </w:rPr>
        <w:t>E. 12</w:t>
      </w:r>
    </w:p>
    <w:p>
      <w:r>
        <w:t>Le recourant obtenant partiellement gain de cause, une indemnité de CHF 3'000.- lui sera accordée à titre de participation à ses frais et dépens (art. 61 let. g LPGA; art. 6 du règlement sur les frais, émoluments et indemnités en matière administrative du 30 juillet 1986 [RFPA - E 5 10.03]).</w:t>
      </w:r>
    </w:p>
    <w:p>
      <w:r>
        <w:rPr>
          <w:b/>
        </w:rPr>
        <w:t>E. 13</w:t>
      </w:r>
    </w:p>
    <w:p>
      <w:r>
        <w:t>L'intimé sera condamné au paiement d'un émolument de CHF 500.- (art. 69 al. 1bis LAI).</w:t>
      </w:r>
    </w:p>
    <w:p>
      <w:r>
        <w:t>A/1260/2016 - 18/18 -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