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ATAS/577/2018 vom 25. Juni 2018</w:t>
      </w:r>
    </w:p>
    <w:p>
      <w:r>
        <w:t>GE Cour de justice, 2018-06-25, FR</w:t>
      </w:r>
    </w:p>
    <w:p>
      <w:r>
        <w:rPr>
          <w:b/>
        </w:rPr>
        <w:t xml:space="preserve">Quelle: </w:t>
      </w:r>
      <w:r>
        <w:t>https://mcp.opencaselaw.ch/entscheid/ge_gerichte_ATAS_577_2018</w:t>
      </w:r>
    </w:p>
    <w:p>
      <w:r>
        <w:t>FR: GE_GERICHTE ATAS/577/2018 du 25 juin 2018</w:t>
      </w:r>
    </w:p>
    <w:p>
      <w:r>
        <w:t>IT: GE_GERICHTE ATAS/577/2018 del 25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singulièrement sur l’évaluation de sa capacité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w:t>
      </w:r>
    </w:p>
    <w:p>
      <w:r>
        <w:t>A/397/2016 - 16/26 -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w:t>
      </w:r>
    </w:p>
    <w:p>
      <w:r>
        <w:t>A/397/2016 - 17/26 -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rPr>
          <w:b/>
        </w:rPr>
        <w:t>E. 9</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w:t>
      </w:r>
    </w:p>
    <w:p>
      <w:r>
        <w:t>A/397/2016 - 18/26 -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Le juge ne s'écarte pas sans motifs impératifs des conclusions d'une expertise médicale judiciaire, la tâche de l'expert étant précisément de mettre ses</w:t>
      </w:r>
    </w:p>
    <w:p>
      <w:r>
        <w:t>A/397/2016 - 19/26 -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La comparaison des revenus s'effectue, en règle ordinaire, en chiffrant aussi exactement que possible les montants de ces deux revenus et en les confrontant l'un avec l'autre, la différence permettant de calculer le taux d'invalidité (méthode</w:t>
      </w:r>
    </w:p>
    <w:p>
      <w:r>
        <w:t>A/397/2016 - 20/26 -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14</w:t>
      </w:r>
    </w:p>
    <w:p>
      <w:r>
        <w:t>En l’espèce, par ordonnance du 17 octobre 2016, la chambre de céans a confié une expertise psychiatrique au Dr P______ en considérant ce qui suit : La Dresse L______ a rendu un rapport d’expertise le 10 octobre 2015 ; les conclusions de celui-ci ont été sérieusement contestées par le Dr G______ dans un rapport circonstancié du 25 janvier 2016, lequel a estimé que le recourant présentait une agoraphobie sévère, qui s’était enkystée et qui était totalement incapacitante ; l’avis subséquent de la Dresse L______ du 13 mai 2016 ne remet par valablement en cause les explications du Dr G______ en ce sens qu’il se borne à relever que la problématique liée à la toxicomanie est prépondérante, en citant les différents résumés de séjours du recourant entre 2004 et 2012, sans se prononcer sur l’aggravation de l’agoraphobie à la suite de l’accalmie des consommations, motivée par le médecin traitant. Au vu de la divergence de ces avis médicaux, il convient d’ordonner une expertise psychiatrique judiciaire.</w:t>
      </w:r>
    </w:p>
    <w:p>
      <w:r>
        <w:rPr>
          <w:b/>
        </w:rPr>
        <w:t>E. 15</w:t>
      </w:r>
    </w:p>
    <w:p>
      <w:r>
        <w:t>a. L’expert judiciaire a retenu les diagnostics de phobie sociale (CIM-10 : F40.01) ; agoraphobie avec trouble panique (F40.01) ; trouble dépressif récurrent actuellement en rémission (F33.4) ; trouble mental et du comportement lié à l’utilisation d’opiacés, syndrome de dépendance, suivant actuellement un régime de substitution, sous surveillance médicale (F11.22) ; trouble mental et du comportement lié à l’utilisation de sédatifs ou hypnotiques, syndrome de dépendance, utilisation continue (F13.25). Le trouble addictif et le trouble dépressif n’avaient aucun effet durable sur la capacité de travail. S’agissant de la phobie sociale et de l’agoraphobie, il était difficile de s’exprimer concernant une limitation durable tant que le recourant ne s’était pas soumis au traitement de référence pour les troubles anxieux ; la thérapie par exposition était efficace ; le recourant n’avait cependant bénéficié que de quatre séances ; selon l’expert, avant la réalisation d’un tel traitement, il resterait difficile de s’exprimer quant aux limitations fonctionnelles durables ; le trouble anxieux était devenu manifeste en 2012 ; une activité durable n’était envisageable que dans le cadre d’un traitement par exposition ; il était ainsi difficile de définir les réelles possibilités du recourant d’exercer une activité lucrative avant qu’un traitement d’exposition avec encadrement thérapeutique rigoureux n’ait été tenté. Dans son premier complément d’expertise, l’expert a indiqué qu’il ne retenait pas d’incapacité de travail pour le trouble anxieux et qu’il avait spécifié qu’une activité</w:t>
      </w:r>
    </w:p>
    <w:p>
      <w:r>
        <w:t>A/397/2016 - 21/26 - professionnelle progressive dans le cadre d’un traitement par exposition était possible. Dans son second complément d’expertise, l’expert a précisé que le recourant était totalement incapable de travailler depuis 2012, en raison d’un diagnostic de phobie sociale et d’agoraphobie et cela tant qu’un traitement par exposition n’aura pas été introduit, lequel était exigible du recourant. L’expert a ainsi précisé son rapport d’expertise, lequel pouvait être compris comme émettant un doute quant à l’existence de limitations fonctionnelles chez le recourant dues à la phobie sociale et l’agoraphobie (expertise P______ p. 19) ; en réalité il s’avère, selon les explications complémentaires de l’expert, que ce doute s’attache aux limitations fonctionnelles durables, soit celles qui subsisteraient à l’issue du suivi par le recourant d’un traitement par exposition (expertise P______ p. 19, compléments d’expertise P______ des 21 janvier et 3 mai 2018). La chambre de céans constate qu’il ressort clairement de l’expertise et de ses compléments que le recourant est considéré comme incapable d’exercer une activité professionnelle, avant la mise en place d’un traitement par exposition, jugé exigible par l’expert. En l’absence d’un tel traitement, le trouble anxieux est incapacitant et cela depuis qu’il est considéré comme étant devenu manifeste par l’expert, soit dès l’année 2012. L’expert indique dans son premier rapport complémentaire que ses propres conclusions et celle de l’intimé se rejoignent. Cet avis signifie, au vu des explications claires présentées dans le second rapport complémentaire quant à la capacité de travail exigible du recourant moyennant un traitement approprié, que l’expert a exclu la présence d’une incapacité de travail durable chez le recourant dans le sens qu’il existe un traitement exigible du recourant, de bon pronostic ; elle ne remet cependant pas en cause l’explication précise de l’expert quant au fait qu’une telle capacité de travail n’est exigible que simultanément à l’introduction d’un traitement par exposition. Ainsi l’expertise judiciaire et ses compléments, fondée sur un entretien avec le recourant, comportant les plaintes du recourant, des diagnostics clairs et une appréciation détaillée des conséquences de chaque diagnostic sur la capacité de travail du recourant, répond aux critères jurisprudentiels précités pour qu’il lui soit reconnu une pleine valeur probante.</w:t>
      </w:r>
    </w:p>
    <w:p>
      <w:r>
        <w:t>b. Le rapport d’expertise est antérieur à la nouvelle jurisprudence du 30 novembre 2017 (ATF 143 V 418) ; il ne comprend donc pas l’analyse de tous les indicateurs selon l’ATF 141 V 281. A cet égard, on rappellera que selon la jurisprudence récente, toutes les affections psychiques doivent en principe faire l'objet d'une procédure probatoire structurée au sens de l'ATF 141 V 281 (ATF 143 V 418 consid. 6 et 7 p. 426 ss et les références). Les expertises mises en oeuvre selon les anciens standards de procédure ne perdent cependant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w:t>
      </w:r>
    </w:p>
    <w:p>
      <w:r>
        <w:t>A/397/2016 - 22/26 -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p. 309; 137 V 210 consid. 6 p. 266 ; arrêt du Tribunal fédéral 9C_797/2017 du 22 mars 2018).</w:t>
      </w:r>
    </w:p>
    <w:p>
      <w:r>
        <w:t>En l’occurrence, l’expertise du Dr P______ permet une appréciation de l’état de santé du recourant à la lumière des indicateurs déterminants. Les diagnostics ont été posés en fonction de l’anamnèse médicale et des éléments cliniques ; en prenant en compte les rapports au dossier, l’entretien avec le recourant et son épouse, l’expert a constaté que tous les critères, qu’il a décrit, étaient remplis pour le diagnostic de phobie sociale et que celui d’agoraphobie semblait aussi irréfutable (expertise P______ p. 16 - 17). Comme comorbidités, l’expert a mentionné des troubles liés à l’utilisation de substances, notamment des opiacés et des benzodiazépines, ainsi qu’un trouble dépressif récurrent, en rémission, non incapacitants. L’expert a établi la survenance de l’agoraphobie à l’adolescence et une aggravation du trouble anxieux depuis 2012 ; il a considéré que les diagnostics de phobie sociale et agoraphobie étaient totalement incapacitant depuis 2012, tant qu’un traitement par exposition n’aura pas été introduit.</w:t>
      </w:r>
    </w:p>
    <w:p>
      <w:r>
        <w:t>S’agissant du traitement, l’expert a relevé que le recourant bénéficiait d’un traitement médicamenteux continu d’antidépresseurs, dont la dose pourrait être augmentée, et de benzodiazépine qui était adéquat ; il a considéré qu’un traitement par exposition devait être proposé au recourant dont on pouvait exiger qu’il s’y soumette ; Une amélioration thérapeutique était donc possible, selon l’expert, avec un bon pronostic, le taux de réponse obtenu pouvant approcher les 90 % (expertise P______ p. 19). Le recourant n’a par ailleurs pas refusé un tel traitement qui ne lui a jusque-là pas été proposé, l’accompagnent par une infirmière, dont le recourant a bénéficié durant quatre séances, non poursuivies par les thérapeutes du recourant, ne pouvant être considéré comme équivalant à une telle thérapie ; il n’est pas établi que le recourant avait connaissance de cette thérapie avant le rapport d’expertise du Dr P______ ; par ailleurs, en toute hypothèse, le fait de ne pas se soumettre, spontanément, à une telle thérapie ne saurait parler en défaveur du poids des souffrances du recourant, l’expert ayant souligné la nature incommodante de la thérapie (expertise P______ p. 21) et l’atteinte à la santé étant suffisamment grave pour être incapacitante.</w:t>
      </w:r>
    </w:p>
    <w:p>
      <w:r>
        <w:t>En l’état, l’expert a donc considéré que les ressources personnelles du recourant ne lui permettaient pas de surmonter seul sa peur du monde extérieur, de sorte qu’une thérapie était nécessaire ; s’agissant du contexte social, le recourant vit reclus, quasiment en permanence à domicile et a des liens limités à son épouse et à son fils.</w:t>
      </w:r>
    </w:p>
    <w:p>
      <w:r>
        <w:t>A/397/2016 - 23/26 -</w:t>
      </w:r>
    </w:p>
    <w:p>
      <w:r>
        <w:t>Il ressort de l’expertise qu’il existe une limitation des niveaux d’activités dans tous les domaines comparables de la vie, le recourant ne quittant pas non plus son domicile pour des loisirs, ainsi qu’une souffrance importante, la phobie sociale et l’agoraphobie engendrant de la crainte, de la peur, une conduite d’évitement, et une détresse émotionnelle significative dues aux symptômes ou à l’évitement (expertise P______ p. 15 - 16).</w:t>
      </w:r>
    </w:p>
    <w:p>
      <w:r>
        <w:t>Compte tenu des éléments mis en évidence par l’expert, il y a lieu de confirmer une incapacité de travail totale du recourant depuis 2012, à revoir dès la mise en œuvre d’un traitement par exposition.</w:t>
      </w:r>
    </w:p>
    <w:p>
      <w:r>
        <w:rPr>
          <w:b/>
        </w:rPr>
        <w:t>E. 16</w:t>
      </w:r>
    </w:p>
    <w:p>
      <w:r>
        <w:t>a. Les critiques du SMR et de l’intimé à l’égard de l’expertise judiciaire, en particulier relativement à l’aspect incapacitant de l’agoraphobie et de la phobie sociale, ne sont pas à même de remettre en cause la valeur probante de cette dernière. Le SMR conteste le degré de gravité du trouble anxieux en relevant qu’il n’a pas été mentionné dans les rapports d’hospitalisation du recourant, que le fait que celui- ci ait pu prendre l’avion n’était pas compatible avec une agoraphobie et une phobie sociale et que l’expert n’expliquait pas l’attitude de passivité totale du recourant au sein de son foyer, laquelle paraissait relever d’un défaut de motivation pouvant jouer un rôle au niveau de l’activité professionnelle. Quant à l’intimé, il a relevé que les échanges entre l’expert et les Drs L______ et G______ n’avaient pas été résumés, qu’un second entretien, jugé nécessaire par l’expert, n’avait pas eu lieu, que la Dresse L______ n’avait pas retenu de trouble panique, ni le médecin généraliste, le recourant n’ayant pas mentionné de symptômes l’évoquant, que le recourant n’avait pas présenté de signes d’angoisses durant l’entretien, qu’enfin, le recourant n’étant pas abstinent, l’expert ne pouvait pas tirer de conclusions quant à l’absence d’influence, pourtant médicalement notable, de la consommation sur l’état anxieux du recourant. b. L’expert a répondu aux critiques du SMR de façon convaincante. S’agissant des diagnostics retenus, l’expert a relevé qu’en se basant sur les différents rapports au dossier ainsi que l’entretien avec le recourant, il constatait que tous les critères du diagnostic de phobie sociale étaient présents et que le diagnostic d’agoraphobie était irréfutable. Ces diagnostics ont ainsi été établis de façon précise et motivée. S’agissant des hospitalisations, l’expert explique de façon convaincante que dès lors qu’elles ont eu lieu pour un diagnostic principal de trouble addictif, il n’était pas insolite que des diagnostics autres n’apparaissent pas dans les rapports. L’expert relève que le fait pour le recourant d’avoir pu prendre l’avion pour se rendre chez lui ne parait pas constituer à lui seul un argument contre la sévérité du trouble ; le recourant a d’ailleurs précisé lors de l’audience du 27 juin 2016 que lorsqu’il prenait l’avion, il était toujours médicamenté et qu’il avait</w:t>
      </w:r>
    </w:p>
    <w:p>
      <w:r>
        <w:t>A/397/2016 - 24/26 - particulièrement peur de le faire ; tel est également le cas lorsque le recourant doit se rendre à un rendez-vous à l’extérieur ; il a précisé avoir pris du temesta pour se rendre à l’audience du 27 juin 2016 (procès-verbal d’audience du 27 juin 2016) ; par ailleurs, l’intimé estime que le recourant accompagne son fils au matchs de football ; à cet égard, le recourant a déclaré lors de l’audience de comparution personnelle des parties qu’il n’avait pu aller voir son fils jouer au football que deux fois alors que son fils avait débuté ce sport à l’âge de 6 ans, soit en 2009, ce qui n’est pas contesté par l’intimé ; or, la pathologie psychiatrique du recourant n’est jugée incapacitante par l’expert que depuis 2012, de sorte que le recourant a pu se déplacer pour voir jouer son fils à deux reprise entre 2009 et 2011 ; l’intimé n’établit pas ni ne prétend le contraire. L’expert précise que l’inactivité du recourant au domicile ne peut être mise en relation avec l’agoraphobie, n’étant pas une situation objet de la phobie ; cette constatation ne constitue pas, selon l’expert, une preuve de l’inexistence de limitations fonctionnelles due à l’agoraphobie. L’expert ne procède d’ailleurs pas à une telle conclusion. Enfin, l’expert relève qu’une thérapie avait été prescrite au recourant en 2013 en vue de traiter l’agoraphobie, ce qui n’est pas contesté par l’intimé et qui documente l’existence de limitations fonctionnelles dues à ce trouble. Le recourant a d’ailleurs déclaré lors de l’audience du 27 juin 2016 qu’avant, une infirmière l’accompagnait à l’extérieur mais qu’il avait dû cesser ces sorties car il n’y arrivait plus. L’expert précise que, vu les diagnostics posés, on ne pouvait s’attendre à des signes manifestes durant l’entretien ; il indique à cet égard que le recourant décrivait des moments d’angoisse si exposé au public ; or, lors de l’entretien, le recourant était seulement en présence de l’expert et de son épouse, laquelle constituait une présence rassurante pour lui. On ne pouvait déduire non plus du fait que la Dresse L______ et le médecin généraliste n’avaient pas constaté de trouble panique une absence de limitations fonctionnelles dues à l’agoraphobie dès lors que l’expert explique que les agoraphobes n’éprouvent que peu d’anxiété car ils parviennent à éviter les situations pathogènes, ce qui correspond au cas du recourant, lequel reste confiné dans son appartement, évitant par là même la survenance de crises de panique. Quant à l’entretien supplémentaire qui était prévu, il avait principalement pour but d’aborder avec le recourant les différentes offres de traitement par exposition mais non pas de préciser un diagnostic, de sorte que son absence n’invalide pas les conclusions de l’expertise. Enfin, selon l’expert, l’utilisation d’opiacés et de benzodiazépines n’a pas entraîné de trouble anxieux, celui-ci ayant précédé l’addiction et ayant persisté après stabilisation de l’addiction, de sorte que c’est à tort que l’intimé estime, en mentionnant un effet « médicalement notoire », que la consommation du recourant aurait un effet sur son état anxieux.</w:t>
      </w:r>
    </w:p>
    <w:p>
      <w:r>
        <w:t>A/397/2016 - 25/26 - c. Au vu de ce qui précède, il convient de suivre les conclusions du rapport d’expertise judiciaire et de reconnaitre au recourant une incapacité de travail totale dans toute activité depuis le 1er janvier 2012.</w:t>
      </w:r>
    </w:p>
    <w:p>
      <w:r>
        <w:rPr>
          <w:b/>
        </w:rPr>
        <w:t>E. 17</w:t>
      </w:r>
    </w:p>
    <w:p>
      <w:r>
        <w:t>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Ce n’est que moyennant le respect de cette procédure de mise en demeure qu’un droit à une rente d’invalidité peut être réduit ou refusé au motif que l’ayant droit n’a par le passé pas suivi les mesures thérapeutiques préconisées ou envisageables (arrêt du Tribunal fédéral 9C_142/2018 du 24 avril 2018 et les références citées). En l’occurrence, l’expert a considéré qu’un traitement par exposition, susceptible de permettre un retour professionnel vers l’emploi du recourant, est exigible. Il incombe en conséquence à l’intimé de procéder conformément à l’art. 21 al. 4 LPGA, soit par le biais d’une mise en demeure écrite du recourant lui enjoignant de se soumettre à un traitement par exposition, tel que préconisé par l’expert. Dans l’intervalle, le recourant doit être considéré comme totalement incapable de travailler depuis le 1er janvier 2012, de sorte que dès le 1er janvier 2013, il a droit à une rente entière d’invalidité. Sa demande de prestations ayant été déposée le 14 mars 2013, son droit à la rente ne peut débuter que le 1er septembre 2013 (art. 29 al. 1 LAI).</w:t>
      </w:r>
    </w:p>
    <w:p>
      <w:r>
        <w:rPr>
          <w:b/>
        </w:rPr>
        <w:t>E. 18</w:t>
      </w:r>
    </w:p>
    <w:p>
      <w:r>
        <w:t>Au vu de ce qui précède, le recours sera partiellement admis, la décision litigieuse annulée et il sera dit que le recourant a droit à une rente entière d’invalidité dès le 1er septembre 2013.</w:t>
      </w:r>
    </w:p>
    <w:p>
      <w:r>
        <w:rPr>
          <w:b/>
        </w:rPr>
        <w:t>E. 19</w:t>
      </w:r>
    </w:p>
    <w:p>
      <w:r>
        <w:t>Étant donné que, depuis le 1er juillet 2006, la procédure n'est plus gratuite (art. 69 al. 1bis LAI), au vu du sort du recours, il y a lieu de condamner l'intimé au paiement d'un émolument de CHF 500.-.</w:t>
      </w:r>
    </w:p>
    <w:p>
      <w:r>
        <w:t>A/397/2016 - 26/26 - PAR CES MOTIFS, LA CHAMBRE DES ASSURANCES SOCIALES : Statuant</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