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ATAS/577/2013 vom 6. Juni 2013</w:t>
      </w:r>
    </w:p>
    <w:p>
      <w:r>
        <w:t>GE Cour de justice, 2013-06-06, FR</w:t>
      </w:r>
    </w:p>
    <w:p>
      <w:r>
        <w:rPr>
          <w:b/>
        </w:rPr>
        <w:t xml:space="preserve">Quelle: </w:t>
      </w:r>
      <w:r>
        <w:t>https://mcp.opencaselaw.ch/entscheid/ge_gerichte_ATAS_577_2013</w:t>
      </w:r>
    </w:p>
    <w:p>
      <w:r>
        <w:t>FR: GE_GERICHTE ATAS/577/2013 du 6 juin 2013</w:t>
      </w:r>
    </w:p>
    <w:p>
      <w:r>
        <w:t>IT: GE_GERICHTE ATAS/577/2013 del 6 giugno 2013</w:t>
      </w:r>
    </w:p>
    <w:p>
      <w:pPr>
        <w:pStyle w:val="Heading2"/>
      </w:pPr>
      <w:r>
        <w:t>Erwägungen</w:t>
      </w:r>
    </w:p>
    <w:p>
      <w:r>
        <w:rPr>
          <w:b/>
        </w:rPr>
        <w:t>E. 1</w:t>
      </w:r>
    </w:p>
    <w:p>
      <w:r>
        <w:t>Conformément à l'art. 134 al. 1 let. a ch. 2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t>A/630/2012 - 18/26 -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S'agissant des modifications de la LAI du 6 octobre 2006 (5ème révision de l'AI), entrées en vigueur le 1er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 Les règles de procédure s’appliquent quant à elles sans réserve dès le jour de son entrée en vigueur (ATF 117 V 71 consid. 6b).</w:t>
      </w:r>
    </w:p>
    <w:p>
      <w:r>
        <w:rPr>
          <w:b/>
        </w:rPr>
        <w:t>E. 3</w:t>
      </w:r>
    </w:p>
    <w:p>
      <w:r>
        <w:t>Le recours, interjeté dans les délai et forme légaux, est recevable (art. 56 ss LPGA). S’agissant de la recevabilité de la réponse de l’intimé, il sied de rappeler que le délai imparti pour le dépôt d’une écriture dans le cadre de la procédure est un délai d’ordre. Partant, cette écriture ne saurait être écartée au motif qu'elle est intervenue hors délai.</w:t>
      </w:r>
    </w:p>
    <w:p>
      <w:r>
        <w:rPr>
          <w:b/>
        </w:rPr>
        <w:t>E. 4</w:t>
      </w:r>
    </w:p>
    <w:p>
      <w:r>
        <w:t>Le litige porte sur le point de savoir si la décision querellée est conforme au droit en tant qu'elle réclame au recourant la restitution des rentes qui lui ont été versées depuis le 1er novembre 2004. La suppression de la rente dès cette date, conditionnée au fait que le recourant disposait depuis le 1er novembre 2004 d’une capacité de travail entière en toute activité, n'est en revanche plus litigieuse, dès lors que la décision de révision du 28 septembre 2011 est entrée en force. S'agissant de la conclusion du recourant tendant à la remise de l'obligation de restituer, la Cour de céans relève qu'une telle demande ne peut être traitée sur le fond que si la décision de restitution est entrée en force (ATFA non publié C 169/05 du 13 avril 2006, consid. 1.2). La remise et son étendue font ainsi l'objet d'une procédure distincte (ATFA non publié P 63/06 du 14 mars 2007, consid. 3; ATF non publié C 264/05 du 25 janvier 2006, consid. 2.1), raison pour laquelle il ne sera pas statué sur ce point dans le cadre du présent jugement. Les griefs du recourant relatifs à sa bonne foi n'ont dès lors pas à être examinés.</w:t>
      </w:r>
    </w:p>
    <w:p>
      <w:r>
        <w:rPr>
          <w:b/>
        </w:rPr>
        <w:t>E. 5</w:t>
      </w:r>
    </w:p>
    <w:p>
      <w:r>
        <w:t>En vertu de l'art. 28 al. 1 LAI, l'assuré a droit à une rente entière s'il est invalide à 70 % au moins, à un trois-quarts de rente s'il est invalide à 60 % au moins, à une demi-rente s'il est invalide à 50 % au moins et à un quart de rente s'il est invalide à 40 % au moins.</w:t>
      </w:r>
    </w:p>
    <w:p>
      <w:r>
        <w:t>A/630/2012 - 19/26 - Est réputée invalidité, l’incapacité de gain totale ou partielle présumée permanente ou de longue durée, résultant d’une infirmité congénitale, d’une maladie ou d’un accident (art. 8 al. 1er LPGA et 4 al. 1er LAI). L'incapacité de gain est définie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L'atteinte à la santé n'est donc pas à elle seule déterminante et ne sera prise en considération que dans la mesure où elle entraîne une incapacité de travail ayant des effets sur la capacité de gain de l'assuré (ATFA non publié I 654/00 du</w:t>
      </w:r>
    </w:p>
    <w:p>
      <w:r>
        <w:rPr>
          <w:b/>
        </w:rPr>
        <w:t>E. 9</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Sur ce point, la réglementation prévue par la LPGA reprend, matériellement, le contenu des anciens art. 95 al. 4 1ère phrase de la loi sur l’assurance-chômage obligatoire et l’indemnité en cas d’insolvabilité (LACI; RS 837.0) et 47 al. 2 1ère phrase de la loi fédérale sur l’assurance-vieillesse et survivants (LAVS; RS 831.10) notamment, en vigueur jusqu’au 31 décembre 2002. L'art. 25 LPGA instaure ainsi un délai de péremption relatif d'une année et un délai absolu de cinq ans, au-delà desquels la restitution ne</w:t>
      </w:r>
    </w:p>
    <w:p>
      <w:r>
        <w:t>A/630/2012 - 21/26 - peut plus être exigée (ATF non publié 8C_130/2008 du 11 juillet 2008, consid. 3.3).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ATFA non publié C 80/05 du 3 février 2006).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(ATF non publié 9C_632/2012 du 10 janvier 2013, consid. 4.2). Ainsi, lorsque des mesures d'instruction sont nécessaires afin de confirmer que des prestations ont été versées indûment, l'autorité doit les mettre en œuvre dans un délai approprié (Ulrich KIESER, op. cit., n. 39 ad art. 25). A titre d'exemple, le Tribunal fédéral a considéré dans le cas de la modification à la suite d'un divorce des bases de calcul d'une rente par une caisse de compensation qu'un délai d'un mois pour rassembler les comptes individuels de l'épouse était largement suffisant (SVR 2004 IV N°41, consid. 4.3). Quant au délai de péremption absolu de cinq ans, il commence à courir à la date du versement effectif de la prestation (ATF non publié 8C_616/2009 du</w:t>
      </w:r>
    </w:p>
    <w:p>
      <w:r>
        <w:rPr>
          <w:b/>
        </w:rPr>
        <w:t>E. 14</w:t>
      </w:r>
    </w:p>
    <w:p>
      <w:r>
        <w:t>décembre 2009, consid. 3.2), et non à la date à laquelle la prestation aurait dû être versée (ATF 112 V 180 consid. 4a). 10. a) En préambule, s'agissant des rapports du détective et les enregistrements visuels, la Cour de céans retient ce qui suit. La surveillance du recourant à son insu constituait un moyen approprié de déterminer si ce dernier avait recouvré une capacité de travail. Quant à l'enregistrement des images, il était utile dès lors que les documents permettraient par la suite à l'expert appelé à se prononcer sur l'état de santé du recourant de tenir compte d'éventuelles incohérences entre les plaintes subjectives et les comportements observés. Par ailleurs, l'observation a porté sur une brève durée puisqu'elle a été de deux fois quelques jours. Elle était de plus limitée aux activités diurnes du recourant. Celui-ci n'a été observé et filmé que du domaine public. Si certaines images permettent de distinguer l'intérieur de locaux commerciaux privés</w:t>
      </w:r>
    </w:p>
    <w:p>
      <w:r>
        <w:t>A/630/2012 - 22/26 - par des fenêtres ou des portes entrebâillées, il faut souligner qu'il s'agissait là de plans visibles de toute personne qui serait passée dans la rue à ce moment. Compte tenu de ces éléments, force est de constater que l'observation était en l'espèce un moyen licite et proportionné au but recherché, à savoir éviter le versement indu de prestations d'assurance. Partant, l'enregistrement et la surveillance sont justifiés par un intérêt public prépondérant et les rapports et prises de vue du détective sont recevables. Pour le surplus, il n'appartient pas à la Cour de céans de statuer sur la violation de domicile alléguée par le recourant. b) Il s'agit en second lieu de déterminer si la décision de restitution est tardive, en d’autres termes si l'intimé a eu connaissance des éléments fondant la restitution avant le 25 janvier 2011, soit plus d’une année avant la décision litigieuse. L'intimé a mandaté un détective afin d'observer le recourant pour la première fois en septembre 2009. Lors de cette filature, qui s'est déroulée sur plusieurs jours, le recourant n'a été observé effectuant des travaux que le 30 septembre et le 1er octobre, soit sur deux des six jours d'observation. Une telle activité pouvait s'inscrire dans la capacité de travail de 20 % dont le recourant dispose depuis 2002. Par conséquent, si elle pouvait certes constituer un indice que l'état de santé du recourant s'était amélioré, elle n'était pas suffisante pour admettre au degré de la vraisemblance prépondérante que ce dernier avait repris une activité professionnelle à plein temps. En effet, il n'existait à cette époque pas d'autres éléments permettant de retenir cette éventualité. Partant, des investigations supplémentaires étaient nécessaires pour confirmer la reprise d'une activité lucrative dans une ampleur excluant le droit à la rente. L'intimé a ainsi derechef mandaté le détective pour une nouvelle observation en mai 2010. On soulignera qu'il était adéquat de laisser plusieurs mois s'écouler entre les deux filatures. En effet,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Partant, en observant le recourant sur une période prolongée, l'intimé pouvait s'assurer que l'activité déployée n'était pas que ponctuelle mais qu'elle s'exerçait sur la durée, et qu'elle avait donc une incidence sur le droit à la rente. On ne saurait ainsi reprocher à l’intimé de ne pas avoir réclamé la restitution des rentes perçues immédiatement après la première mesure d’observation.</w:t>
      </w:r>
    </w:p>
    <w:p>
      <w:r>
        <w:t>A/630/2012 - 23/26 - On ne peut pas non plus considérer que l'intimé connaissait les faits fondant la restitution à réception du second rapport d'observation ou, comme l'allègue le recourant, lors de l'audition d'octobre 2010. On notera tout d'abord que le recourant a refusé de signer le procès-verbal d'entretien et qu'on ne saurait donc lui imputer les déclarations qui y figurent. Même si tel était le cas, les indications sur sa capacité de travail en tant que gérant de magasin - au demeurant contradictoires puisqu'il aurait fait état lors de l'entretien d'une capacité de travail entière dans ce domaine tout en signalant avoir dû fermer un magasin de meubles précisément en raison de problèmes de santé - ne signifiaient pas que le recourant l'avait mise en valeur dans une activité lucrative à plein temps. Enfin, le Tribunal fédéral a souligné dans plusieurs arrêts qu'un rapport d'observation peut constituer un indice sur l'état de santé et la capacité de travail d'un assuré mais ne suffit pas à l'établir, seules des investigations d'ordre médical permettant d'y conclure (ATF 137 I 327 consid. 7.1 et les références; ATF non publié 8C_434/2011 du 8 décembre 2011, consid. 4.2). Les rapports médicaux destinés à corroborer les rapports d'observation doivent d'ailleurs analyser le contenu des enregistrements réalisés par le détective (ATF non publié 8C_521/2012 du 20 décembre 2012, consid. 5.3). Ainsi, l’intimé ne pouvait en l’espèce supprimer la rente avec effet rétroactif – condition préalable à la restitution des prestations versées – sans disposer d’éléments médicaux attestant d’une capacité de travail entière dès novembre 2004. C’est donc à juste titre qu’il a attendu de connaître les conclusions de l’expert corroborant les observations du détective sur la capacité du travail du recourant pour rendre les décisions de révision puis de restitution des rentes. Ce n’est donc qu’à réception du rapport d’expertise, daté du 6 juin 2011, que l'intimé avait connaissance de tous les éléments nécessaires fondant la décision de restitution. Celle-ci a été rendue le 24 janvier 2012, soit dans le délai légal d’une année. Il convient encore de souligner que les délais dans lesquels l’intimé a agi ne prêtent pas flanc à la critique. Les mesures d'observation ont en effet été entreprises dans des délais raisonnables, et l'intimé a diligenté l'expertise immédiatement après avoir permis au recourant d’exercer son droit d’être entendu sur les rapports de surveillance le concernant. Par conséquent, la décision de restitution n'est pas tardive. c) Reste à examiner si l'intimé est fondé à réclamer la restitution des prestations dues dès novembre 2004. La décision respecte le délai de cinq ans prévu par l'art. 25 al. 2 LPGA, délai qui court dès le versement effectif des prestations, comme cela ressort de la jurisprudence citée. En effet, les rentes ont été accordées par décision du 8 mai 2007.</w:t>
      </w:r>
    </w:p>
    <w:p>
      <w:r>
        <w:t>A/630/2012 - 24/26 - Cependant, selon l'art. 88bis al. 2 let. b RAI, la diminution ou la suppression de la rente, de l’allocation pour impotent ou de la contribution d’assistance prend effet rétroactivement à la date où elle a cessé de correspondre aux droits de l’assuré, s’il se l’est fait attribuer irrégulièrement ou s’il a manqué, à un moment donné, à l’obligation de renseigner qui lui incombe raisonnablement selon l’art. 77. La correction rétroactive prévue par cette disposition suppose toutefois un lien de causalité entre la violation de l'obligation de renseigner et les prestations perçues à tort (Michel VALTERIO, Droit de l'assurance-vieillesse et survivants [AVS] et de l'assurance-invalidité [AI], 2011, n° 3115 p. 844). Ainsi, les rentes perçues à tort jusqu'à l'annonce tardive d'une reprise du travail doivent être restituées. En revanche, celles qui sont versées après cette annonce ne sont plus soumises à restitution (ATF 119 V 431 consid. 4a). Or, même si l'obligation de renseigner porte également sur l'état de santé en vertu de l'art. 77 RAI, on ne peut reprocher au recourant d'avoir omis de signaler une amélioration de son état de santé influençant son droit aux prestations. En effet, avant le Dr B__________, aucun des médecins consultés n'a rapporté une capacité de gain complète que le recourant aurait tue à l'intimé. On ne peut en particulier pas considérer que le certificat d'aptitude à la conduite établi par le Dr U__________ en 2005 démontre une amélioration de l'état de santé cachée par le recourant, dès lors que l’intimé n’ignorait pas que ce dernier avait repris son activité de chauffeur de taxi à 20 % dès 2002. En revanche, le recourant n’a pas communiqué la reprise d'une activité professionnelle. Sur ce point, il a bien violé son obligation de renseigner. Au vu des éléments du dossier, on doit admettre que la reprise d'une activité professionnelle est établie au degré de la vraisemblance prépondérante dès mai 2010 au plus tard. A cette date, le recourant a travaillé deux jours consécutifs selon des horaires réguliers chez Y__________ Sàrl, où il semblait exercer une fonction d'encadrement. On relèvera d'ailleurs que cette société est étroitement liée à Z__________ Sàrl, dont il est l'associé gérant. En effet, Monsieur A__________ est actif dans ces deux entreprises, qui ont le même siège social chemin du V__________ 9 à Vernier. De plus, l'activité que le recourant a déployée pour Y__________ Sàrl dépasse largement le coup de main ponctuel lors de l'installation de l'entreprise évoqué dans son écriture du 20 mars 2013. En effet, il a non seulement procédé à des travaux d'aménagement du local en septembre 2009, mais y travaillait apparemment de manière régulière lors de la surveillance de mai 2010, comme le démontre sa connaissance de la clientèle fréquentant l'entreprise. On doit dès lors admettre qu'en mai 2010 au plus tard, le recourant avait repris une activité à temps complet. Celui- ci a au demeurant indiqué à l'expert que c'était bien en 2010 qu'il s'était associé à des amis afin d'exploiter une société active dans le domaine de l'automobile. Le fait que la société n'ait pas dégagé de recettes est ici sans pertinence sur l'obligation du recourant d'annoncer son activité, dès lors qu'il aurait pu valoriser sa capacité de gain dans un emploi générateur de revenus.</w:t>
      </w:r>
    </w:p>
    <w:p>
      <w:r>
        <w:t>A/630/2012 - 25/26 - Partant, le recourant devra restituer les rentes indûment perçues du 1er mai 2010 au 30 novembre 2011, date de suspension du versement de la rente, soit</w:t>
      </w:r>
    </w:p>
    <w:p>
      <w:r>
        <w:rPr>
          <w:b/>
        </w:rPr>
        <w:t>E. 19</w:t>
      </w:r>
    </w:p>
    <w:p>
      <w:r>
        <w:t>mensualités à 1'933 fr. correspondant à un total de 36'727 fr. 11. Eu égard à ce qui précède, le recours est partiellement admis. Le recourant obtenant en partie gain de cause, il a droit à des dépens réduits qu'il convient en l'espèce de fixer à 750 fr. (art. 61 let. g LPGA). La présente procédure ne portant pas sur l'octroi ou le refus de prestations de l'assurance-invalidité, elle est gratuite (art. 69 al. 1bis LAI a contrario et art. 61 let. a LPGA).</w:t>
      </w:r>
    </w:p>
    <w:p>
      <w:r>
        <w:t>A/630/2012 - 26/26 -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