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ATAS/576/2012 vom 1. Mai 2012</w:t>
      </w:r>
    </w:p>
    <w:p>
      <w:r>
        <w:t>GE Cour de justice, 2012-05-01, FR</w:t>
      </w:r>
    </w:p>
    <w:p>
      <w:r>
        <w:rPr>
          <w:b/>
        </w:rPr>
        <w:t xml:space="preserve">Quelle: </w:t>
      </w:r>
      <w:r>
        <w:t>https://mcp.opencaselaw.ch/entscheid/ge_gerichte_ATAS_576_2012</w:t>
      </w:r>
    </w:p>
    <w:p>
      <w:r>
        <w:t>FR: GE_GERICHTE ATAS/576/2012 du 1 mai 2012</w:t>
      </w:r>
    </w:p>
    <w:p>
      <w:r>
        <w:t>IT: GE_GERICHTE ATAS/576/2012 del 1 maggio 2012</w:t>
      </w:r>
    </w:p>
    <w:p>
      <w:pPr>
        <w:pStyle w:val="Heading2"/>
      </w:pPr>
      <w:r>
        <w:t>Erwägungen</w:t>
      </w:r>
    </w:p>
    <w:p>
      <w:r>
        <w:rPr>
          <w:b/>
        </w:rPr>
        <w:t>E. 1</w:t>
      </w:r>
    </w:p>
    <w:p>
      <w:r>
        <w:t>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Les modifications de la loi fédérale sur l'assurance-invalidité du 21 mars 2003 (4ème révision) et du 6 octobre 2006 (5ème révision), entrées en vigueur le 1er janvier 2004, respectivement, le 1er janvier 2008,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t>A/2786/2011 - 9/14 -</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de la recourante à une rente d'invalidité.</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w:t>
      </w:r>
    </w:p>
    <w:p>
      <w:r>
        <w:t>A/2786/2011 - 10/14 -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Une expertise médicale établie sur la base d'un dossier peut avoir valeur probante pour autant que celui-ci contienne suffisamment d'appréciations médicales qui, elles, se fondent sur un examen personnel de l'assuré (cf.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w:t>
      </w:r>
    </w:p>
    <w:p>
      <w:r>
        <w:t>A/2786/2011 - 11/14 -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9</w:t>
      </w:r>
    </w:p>
    <w:p>
      <w:r>
        <w:t>En l'espèce, l'expertise du Dr P__________ peut se voir reconnaitre pleine valeur probante au sens de la jurisprudence susmentionnée, étant relevé que la recourante n'expose pas en quoi elle serait contestable si ce n'est que l'expert ne retient pas une incapacité de travail excédent 20%. Il s'avère à cet égard que, lors du dépôt de la demande, le généraliste, le psychiatre et le gastroentérologue attestaient d'une capacité de travail de 50% à 80%. Plus précisément, aucun rapport médical ne retient que le diabète aurait un effet sur la capacité de travail de l'assurée. La maladie de Crohn n'a pas eu de répercussion durable sur la capacité de travail de 1989 à 2002 et ce malgré le difficile parcours de l'assurée et les interventions chirurgicales qui se sont succédées de 1993 à 2002. Cette affection n'a pas connu d'aggravation ultérieure et le Dr L___________ atteste en 2011 que l'ensemble des affections (en citant le diabète, la maladie de Verneuil et une fistule), ainsi que les conséquences sur le métabolisme de l'assurée, mais aussi diverses difficultés personnelles (père malade, licenciement, divorce) ont des effets évidents sur sa capacité de travail, sans indiquer quel serait le taux d'incapacité de travail. Le trouble dépressif connait une amélioration favorable selon la psychiatre qui précise qu'en raison des nombreuses comorbidités somatiques, l'assurée ne peut plus</w:t>
      </w:r>
    </w:p>
    <w:p>
      <w:r>
        <w:t>A/2786/2011 - 12/14 - assumer de charge professionnelle. La maladie de Verneuil est fluctuante, avec des périodes de poussées impliquant de courtes incapacité de travail, le Dr M__________ confirmant que ces poussées peuvent intervenir trois fois par mois ou pas du tout durant plusieurs mois et peuvent impliquer une incapacité d'une semaine à un mois, lors de cas graves. Il s'avère que seules deux incapacité d'un mois ont eu lieu depuis 2008, l'une en été 2009, l'autre fin 2011. Le médecin relève qu'en dehors de ces poussées, l'assurée est capable de travailler à 100%. Il précise que les deux dernières poussées ont eu lieu le 8 juillet 2011, puis en novembre et décembre 2011 (4 foyers avec une intervention), sans pouvoir garantir que la stabilité observée depuis lors soit le bénéfice du traitement entrepris. Il s'avère finalement que seule la maladie de Verneuil a depuis 2004 des conséquences sur la capacité de travail de l'assurée, dont l'importance sera examinée plus bas. Ainsi, aucun des spécialistes n'affirme que l'affection qu'il traite implique une incapacité de travail de longue durée, mais tous soutiennent que les pathologies dans leur ensemble ont une répercussion - qui n'est pas précisément évaluée - sur la capacité de travail et la qualité de vie de l'assurée. Ainsi, les avis des divers médecins consultés ne sont pas divergents des conclusions de l'expertise du Dr P__________, qui retient une diminution de rendement de 20%, compte tenu des distinctions entre un mandat de soin et d'expertise et ces médecins ne révèlent notamment pas d'aggravation durable depuis 2008. Quant aux avis du Dr O__________, médecin traitant, qui atteste d'une incapacité totale de travail depuis 2009, sans motivation et du médecin conseil de l'assurance- chômage, qui retient une totale et définitive invalidité, sans autre explication que le dépôt d'une demande d'invalidité, ils ne sont pas probants. Au vu des avis médicaux recueillis, le SMR était donc fondé à se prononcer sans ausculter l'assurée. De même, il ne se justifie pas d'ordonner une expertise judiciaire pluridisciplinaire. Surtout, il s'avère que l'assurée a réduit son taux d'activité à 80% en 2006 en raison des effets sur sa capacité de travail de l'ensemble des pathologies, de la fatigue et des conséquences sur sa thymie des difficultés personnelles rencontrées et ce, afin de retrouver une meilleure qualité de vie. Cette réduction de son taux d'activité a par ailleurs eu lieu lors de la prise d'un nouvel emploi en juillet 2006. C'est dans ce contexte que l'assurée a déposé une demande de rente d'invalidité à 20%. Elle a ensuite continué à travailler pour le même employeur à 80% jusqu'à son licenciement à fin juillet 2010, avec très peu de périodes d'absence en 2008, 6 semaines en deux périodes en 2009 et aucune absence en 2010 pour cause de maladie. Il est ainsi non seulement démontré que l'assurée n'est affectée d'aucune maladie impliquant une incapacité de travail de longue durée de plus de 20%, mais également que sa capacité de gain n'a pas été affectée au-delà des 20% retenus par l'expert, étant rappelé que l'invalidité est une notion économique.</w:t>
      </w:r>
    </w:p>
    <w:p>
      <w:r>
        <w:t>A/2786/2011 - 13/14 - Ainsi, les arguments soulevés par le conseil de l'assurée semblent tomber à faux : l'assurée a été licenciée pour motif économique sans pouvoir exclure que ses absences de 2009 aient guidé le choix de l'employeur, mais en tout cas pas après une longue période d'absence ; le médecin conseil ne peut pas valablement attester d'une totale invalidité pour une demandeuse d'emploi qui a travaillé à 80% sans aucune absence durant les six mois précédent le chômage ; les médecins traitants de l'assurée n'attestent pas d'une aggravation de l'état de santé depuis 2008 ou depuis 2010 et aucun n'affirme que l'assurée serait totalement et définitivement incapable de travailler ; l'assurée serait sans emploi et totalement incapable de travailler depuis juillet 2010, ce qui est contradictoire avec un retour au travail en novembre 2011 après la mise à plat de la fistule et avant même l'ablation des sutures et agrafes. Il est donc retenu que l'avis du SMR est probant. Il se fonde sur les conclusions de l'expertise, qui admet une diminution de rendement de 20%. Il relève qu'il n'y a pas eu d'aggravation durable depuis lors, mais seulement de courtes périodes d'incapacité, tout en émettant l'espoir que le traitement entrepris permette une stabilisation, voire une notable amélioration. L'OAI pouvait se fonder sur cet avis, corroboré par la capacité effective de travail et de gain de l'assurée, pour refuser toute prestation, le taux d'invalidité de 20% n'ouvrant pas de droit à une rente et la capacité de 80% étant acquise dans l'activité exercée, sans nécessité de procéder à une réadaptation professionnelle.</w:t>
      </w:r>
    </w:p>
    <w:p>
      <w:r>
        <w:rPr>
          <w:b/>
        </w:rPr>
        <w:t>E. 10</w:t>
      </w:r>
    </w:p>
    <w:p>
      <w:r>
        <w:t>Au vu de ce qui précède, le recours sera rejeté. Bien que la procédure ne soit pas gratuite en matière d'assurance-invalidité (art. 69 al. 1bis LAI), il convient de renoncer à la perception d'un émolument, la recourante étant au bénéfice de l'assistance juridique (art. 12 al. 1 du règlement sur les frais, émoluments et indemnités en procédure administrative du 30 juillet 1986; RS E 510.03).</w:t>
      </w:r>
    </w:p>
    <w:p>
      <w:r>
        <w:t>A/2786/2011 - 14/14 -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