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ATAS/576/2008 vom 14. Mai 2008</w:t>
      </w:r>
    </w:p>
    <w:p>
      <w:r>
        <w:t>GE Cour de justice, 2008-05-14, FR</w:t>
      </w:r>
    </w:p>
    <w:p>
      <w:r>
        <w:rPr>
          <w:b/>
        </w:rPr>
        <w:t xml:space="preserve">Quelle: </w:t>
      </w:r>
      <w:r>
        <w:t>https://mcp.opencaselaw.ch/entscheid/ge_gerichte_ATAS_576_2008</w:t>
      </w:r>
    </w:p>
    <w:p>
      <w:r>
        <w:t>FR: GE_GERICHTE ATAS/576/2008 du 14 mai 2008</w:t>
      </w:r>
    </w:p>
    <w:p>
      <w:r>
        <w:t>IT: GE_GERICHTE ATAS/576/2008 del 14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w:t>
      </w:r>
    </w:p>
    <w:p>
      <w:r>
        <w:t>A/3605/2007 - 7/12 -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Le recours interjeté le 24 septembre 2007 contre la décision notifiée au recourant par pli simple en date du 21 août 2007 est recevable, dès lors qu'il respecte la forme et le délai prévus par la loi (art. 56 et 60 LPGA).</w:t>
      </w:r>
    </w:p>
    <w:p>
      <w:r>
        <w:rPr>
          <w:b/>
        </w:rPr>
        <w:t>E. 4</w:t>
      </w:r>
    </w:p>
    <w:p>
      <w:r>
        <w:t>L'objet du litige consiste à déterminer si c'est à bon droit que l'intimé a refusé au recourant l'octroi de toute prestation de l'assurance-invalidité.</w:t>
      </w:r>
    </w:p>
    <w:p>
      <w:r>
        <w:rPr>
          <w:b/>
        </w:rPr>
        <w:t>E. 5</w:t>
      </w:r>
    </w:p>
    <w:p>
      <w:r>
        <w:t>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w:t>
      </w:r>
    </w:p>
    <w:p>
      <w:r>
        <w:t>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 rente s'il est invalide à 50 % au moins, ou à un quart de rente s'il est invalide à 40 % au moins; dans les cas pénibles, l'assuré peut, d'après l'art. 28 al. 1bis LAI, prétendre à une demi-rente s'il est invalide à 40 % au moins. L'entrée en vigueur, le 1er janvier 2004,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w:t>
      </w:r>
    </w:p>
    <w:p>
      <w:r>
        <w:t>A/3605/2007 - 8/12 -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rPr>
          <w:b/>
        </w:rPr>
        <w:t>E. 6</w:t>
      </w:r>
    </w:p>
    <w:p>
      <w:r>
        <w:t>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Il convient par ailleurs de rappeler que l'obligation pour l'assuré de diminuer le dommage est un principe général du droit des assurances sociales (ATF 129 V 463 consid. 4.2, 123 V 233 consid. 3c, 117 V 278 consid. 2b, 400 et les références citées). Ainsi, avant de requérir des prestations de l'assurance-invalidité, l'assuré doit entreprendre de son propre chef tout ce qu'on peut raisonnablement attendre de lui pour atténuer le mieux possible les conséquences de son invalidité (Arrêt T. du 30 août 2004 (I 10/03), publié in Plädoyer 2005/2, p. 65; 113 V 28 consid. 4a; MEYER-BLASER, Bundesgesetz über die Invalidenversicherung [IVG] ad art. 28</w:t>
      </w:r>
    </w:p>
    <w:p>
      <w:r>
        <w:t>A/3605/2007 - 9/12 - LAI, p. 221).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En l’espèce, il résulte du dossier médical que le recourant présente de multiples atteintes à la santé. Selon le médecin traitant, l'éthylo-tabagisme, la poly- neuropathie des membres inférieurs et le trouble dépressif grave entraînent une incapacité de travail de 100 % depuis le 21 février 2005. Il présente d'autres comorbidités objectivées par les médecins, à savoir un diabète de type II (compliqué d'une néphropathie stade III et d'une poly-neuropathie des membres inférieurs), une HTA, une hyperlipidémie ainsi qu'une cardiopathie ischémique. Le Dr A_________ considère que le recourant est incapable d'assumer ses tâches de cuisinier tant physiquement que psychiquement, que la capacité de travail au poste occupé précédemment ne peut être améliorée et que l'on ne peut exiger de l'assuré qu'il exerce une autre activité. Le Dr C_________, les médecins des HUG et de la Clinique genevoise de Montana ne se sont pas prononcés sur la capacité de travail du recourant. Le SMR estime quant à lui que la seule limitation fonctionnelle du recourant est due à la pose du stent et consiste à éviter les gros efforts. Le bilan artériel est en effet normal et la poly-neuropathie est principalement due à l'alcool. S'agissant de l'état dépressif, il semble réactionnel, mais le recourant a refusé de voir un psychiatre et il ne bénéficie pas d'un traitement, de sorte qu'il ne peut être retenu. Pour le reste, l'alcool et le tabac sont responsables de son incapacité de travail et de l'aggravation de l'état psychique et physique, notamment sur le plan cardio- vasculaire. Le SMR considère que si l'assuré veut aller mieux et pouvoir travailler, il doit faire l'effort de diminuer sa consommation d'alcool et de tabac; or, en l'état, il ne fait pas les efforts nécessaires et exigibles par la loi. En revanche, si le recourant devait faire une complication grave de son éthylo-tabagisme, tels que cancer du poumon, infarctus étendu, accident vasculo-cérébral important, il y aurait lieu de revenir sur la décision. Le recourant conteste cette appréciation et soutient que c'est en raison de ses nombreux problèmes de santé qu'il a dû cesser son activité de cuisinier. Il considère que le SMR fait preuve d'arbitraire en argumentant le refus de prestations en fonction de la seule addiction à l'alcool et au tabac. Il fait valoir de surcroît que l'intimé ne saurait refuser des prestations en se fondant sur ce seul motif, dès lors qu'aucune faute grave intentionnelle ne peut lui être reprochée et qu'au demeurant, se pose la question de savoir s'il est raisonnable d'exiger de lui, au regard des circonstances, qu'il cesse toute consommation d'alcool ou de tabac.</w:t>
      </w:r>
    </w:p>
    <w:p>
      <w:r>
        <w:t>A/3605/2007 - 10/12 - Le Tribunal de céans constate que l'état dépressif du recourant a été relevé non seulement par son médecin traitant, mais aussi par les médecins de la Clinique genevoise de Montana. Certes, le recourant a refusé de consulter un psychiatre, mais le médecin traitant a expliqué l'état de détresse dans lequel il se trouve. Alors que le médecin traitant constatait un trouble dépressif grave, lors de la dernière hospitalisation à la Clinique de Montana, un trouble dépressif récurrent, épisode actuel moyen, a été diagnostiqué et le recourant a bénéficié d'un soutien médico- infirmier régulier et d'entretiens avec le psychothérapeute. Sur la base du dossier, on ignore si un traitement d'antidépresseurs a été prescrit et quelle a été l'évolution de l'état de santé psychique. S'agissant de la poly-neuropathie, contrairement à ce que soutient le SMR, il ne ressort nullement du rapport du Dr C_________ qu'elle est essentiellement due à l'alcoolisme. Elle est bien plutôt d'origine mixte (diabète et alcool). Le médecin traitant a indiqué par ailleurs que cette poly-neuropathie est grave, avec des troubles de la sensibilité profonde et des douleurs des extrémités. Quant à l'éthylo-tabagisme, rien ne permet en l'état actuel du dossier d'affirmer péremptoirement qu'il n'est ni la cause ni la conséquence d'une atteinte à la santé physique ou psychique ayant valeur de maladie. En effet, si selon la jurisprudence constante concernant les dépendances similaires que sont l'alcoolisme, la pharmacodépendance et la toxicomanie, une dépendance de ce type ne constitue pas en soi une invalidité au sens de la loi, en revanche, elle joue un rôle dans l'AI lorsqu'elle a provoqué une maladie ou un accident qui entraîne une atteinte à la santé physique ou mentale, nuisant à la capacité de gain, ou si elle résulte elle-même d'une atteinte à la santé physique ou mentale qui a valeur de maladie (RCC 1992 p. 182 consid. 2b et les références). Au vu des multiples atteintes à la santé que présente le recourant, seule une approche multidisciplinaire est à même de préciser les diagnostics psychiatrique et physiques, de décrire les limitations fonctionnelles et de déterminer exactement quelles sont les répercussions sur la capacité de travail, dans l'activité habituelle ainsi que dans une activité adaptée. Force est de constater que le dossier n'est pas suffisamment instruit. La cause sera en conséquence renvoyée à l'intimé afin qu'il mette en œuvre une expertise multidisciplinaire, dans les meilleurs délais. Les experts appelés à se prononcer devront notamment préciser si l'éthylo-tabagisme a entraîné une atteinte à la santé physique ou psychique ou s'il résulte lui-même d'une atteinte à la santé physique ou mentale ayant valeur de maladie. Enfin, compte tenu de l'ensemble des atteintes à la santé, ils devront indiquer quelles en sont les conséquences sur la capacité de travail.</w:t>
      </w:r>
    </w:p>
    <w:p>
      <w:r>
        <w:rPr>
          <w:b/>
        </w:rPr>
        <w:t>E. 8</w:t>
      </w:r>
    </w:p>
    <w:p>
      <w:r>
        <w:t>Bien fondé, le recours est admis.</w:t>
      </w:r>
    </w:p>
    <w:p>
      <w:r>
        <w:t>A/3605/2007 - 11/12 -</w:t>
      </w:r>
    </w:p>
    <w:p>
      <w:r>
        <w:rPr>
          <w:b/>
        </w:rPr>
        <w:t>E. 9</w:t>
      </w:r>
    </w:p>
    <w:p>
      <w:r>
        <w:t>Le recourant, représenté par un avocat, a droit à une indemnité à titre de participation à ses frais et dépens, fixée en l'espèce à 1'000 fr. (art. 89H al. 3 LPA)</w:t>
      </w:r>
    </w:p>
    <w:p>
      <w:r>
        <w:rPr>
          <w:b/>
        </w:rPr>
        <w:t>E. 10</w:t>
      </w:r>
    </w:p>
    <w:p>
      <w:r>
        <w:t>Vu l'issue du litige, un émolument de 500 fr. est mis à la charge de l'intimé (art. 69 al.1bis LAI). *****</w:t>
      </w:r>
    </w:p>
    <w:p>
      <w:r>
        <w:t>A/3605/2007 - 12/12 -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