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ATAS/575/2015 vom 30. Juli 2015</w:t>
      </w:r>
    </w:p>
    <w:p>
      <w:r>
        <w:t>GE Cour de justice, 2015-07-30, FR</w:t>
      </w:r>
    </w:p>
    <w:p>
      <w:r>
        <w:rPr>
          <w:b/>
        </w:rPr>
        <w:t xml:space="preserve">Quelle: </w:t>
      </w:r>
      <w:r>
        <w:t>https://mcp.opencaselaw.ch/entscheid/ge_gerichte_ATAS_575_2015</w:t>
      </w:r>
    </w:p>
    <w:p>
      <w:r>
        <w:t>FR: GE_GERICHTE ATAS/575/2015 du 30 juillet 2015</w:t>
      </w:r>
    </w:p>
    <w:p>
      <w:r>
        <w:t>IT: GE_GERICHTE ATAS/575/2015 del 30 luglio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la recourante a droit à la continuation du versement d’indemnités journalières au-delà du 31 janvier 2014, si une invalidité doit lui être reconnue et de quel degré et, enfin, sur le taux de l’IPAI qui doit lui être accordée.</w:t>
      </w:r>
    </w:p>
    <w:p>
      <w:r>
        <w:rPr>
          <w:b/>
        </w:rPr>
        <w:t>E. 5</w:t>
      </w:r>
    </w:p>
    <w:p>
      <w:r>
        <w:t>La Cour de céans ne reviendra pas ici sur la violation du droit d’être entendue alléguée par la recourante dans la mesure où ce grief a d’ores et déjà été écarté dans l’arrêt incident du 4 juillet 2014 (ATAS/845/2014). Ainsi que la Cour l’a relevé à cette occasion, non seulement l’intimée ne s’était pas basée sur le rapport du Dr L______ pour rendre sa décision mais ledit rapport avait été sollicité par l’OAI au dossier duquel la recourante avait accès.</w:t>
      </w:r>
    </w:p>
    <w:p>
      <w:r>
        <w:rPr>
          <w:b/>
        </w:rPr>
        <w:t>E. 6</w:t>
      </w:r>
    </w:p>
    <w:p>
      <w:r>
        <w:t>Au fond, se pose en premier lieu la question de la continuation du versement des indemnités journalières, la recourante contestant que son état soit stabilisé puisqu’un risque de développement d’arthrose a été évoqué. a.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(al. 1). En d’autres termes,</w:t>
      </w:r>
    </w:p>
    <w:p>
      <w:r>
        <w:t>A/1458/2014 - 14/24 - l’assureur-accidents ne peut clore le cas que s'il n'y a plus lieu d'attendre de la continuation du traitement médical une sensible amélioration de l'état de l'assuré, ce par quoi il faut entendre l'amélioration ou la récupération de la capacité de travail (ATF 134 V 109 consid. 4.3 p. 115 et les références). b. En l’espèce, l’argument de la recourante selon lequel son état de santé ne serait pas stabilisé est mis à mal par le fait qu’il a été mis un terme au traitement de ses affections physiques au printemps 2012, étant rappelé que la prise en charge du traitement des affections psychiques est contestée (cf. infra). Le Dr H______, dans son rapport du 24 juillet 2013, a observé des mains et des poignets tout à fait calmes. Certes, malgré un traitement chirurgical bien conduit et une physiothérapie correcte, la patiente n’avait pas récupéré complètement sa mobilité bilatérale et souffrait encore de douleurs et d’une diminution de la force. Cependant, il a constaté que, depuis l’ablation du matériel d’ostéosynthèse, les plaintes et limitations fonctionnelles s’étaient stabilisées, raison pour laquelle il n’y avait d’ailleurs plus eu de traitement intensif depuis lors. Il a expliqué qu’au vu du status et des radiographies, on ne pouvait plus espérer de nette amélioration sur le plan orthopédique et qu’il était probable que la plupart des phénomènes d’adaptation et d’accoutumance étaient survenus. Sur le plan conservateur, un traitement intensif de physiothérapie n’avait plus de sens. Les seuls traitements qui perdureraient consisteraient en anti-inflammatoires et antalgiques et, une ou deux fois par année, quelques séances de physiothérapie. Il en a conclu que la situation était stabilisée sur le plan orthopédique et ceci vraisemblablement depuis le printemps 2012. Ces conclusions ont été corroborées par la CRR. Il y a donc lieu d’admettre que l’état de l’assurée est bel et bien stabilisé, même si l’on peut déplorer avec elle qu’elle n’ait pu retrouver son état antérieur au niveau des mains. Ainsi que le fait remarquer l’intimée, le risque futur de développer des séquelles tardives sous forme d’arthrose ne saurait s’opposer à la clôture du cas. A cet égard, on relèvera que le reproche de la recourante à l’encontre de l’intimée de n’avoir pas prévu ou réservé la prise en charge des frais relatifs à l’arthrose redoutée pour le futur tombe à faux puisque, précisément, l’intimée, dans sa décision du 31 janvier 2014, a expressément réservé son droit d’annoncer une rechute ou des séquelles tardives. Il ressort de ce qui précède que c’est à juste titre que l’intimée, considérant qu’aucune amélioration ne pouvait plus être attendue de la continuation du traitement médical, a mis un terme au versement des indemnités journalières au 31 janvier 2014.</w:t>
      </w:r>
    </w:p>
    <w:p>
      <w:r>
        <w:rPr>
          <w:b/>
        </w:rPr>
        <w:t>E. 7</w:t>
      </w:r>
    </w:p>
    <w:p>
      <w:r>
        <w:t>Se pose ensuite la question du lien de causalité entre l’accident et les atteintes psychiques, celui avec les atteintes aux poignets n’étant pas contesté.</w:t>
      </w:r>
    </w:p>
    <w:p>
      <w:r>
        <w:t>A/1458/2014 - 15/24 -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w:t>
      </w:r>
    </w:p>
    <w:p>
      <w:r>
        <w:t>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w:t>
      </w:r>
    </w:p>
    <w:p>
      <w:r>
        <w:t>A/1458/2014 - 16/24 -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crânio-cérébral (ATF 117 V 369 consid. 4b), on peut renoncer à distinguer les éléments physiques des éléments psychiques (sur l'ensemble de la question, ATF 127 V 102 consid. 5b/bb et SVR 2007 UV n° 8 p. 27 consid. 2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w:t>
      </w:r>
    </w:p>
    <w:p>
      <w:r>
        <w:t>A/1458/2014 - 17/24 -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w:t>
      </w:r>
    </w:p>
    <w:p>
      <w:r>
        <w:t>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w:t>
      </w:r>
    </w:p>
    <w:p>
      <w:r>
        <w:t>A/1458/2014 - 18/24 -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Le Tribunal fédéral a rappelé que le caractère particulièrement impressionnant ou dramatique avait été nié dans le cas d'un travailleur victime d'un accident dans les circonstances suivantes : une lourde pierre s'était détachée d'un mur haut de 2,7 m d'un immeuble en démolition et lui a percuté le dos, puis la cheville gauche, alors qu'il s'apprêtait à franchir une fenêtre; le choc l'a projeté en avant et il s'est trouvé face contre terre, à cheval sur la base de l'encadrement de la fenêtre. Il l'a encore nié dans le cas d'un travailleur qui était tombé d'un échafaudage d'une hauteur d'environ 3 à 4 m ou d'un travailleur qui avait chuté d'une échelle d'une hauteur d'environ 4,5 m dans une fouille. Il l'avait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A été qualifié d'accident de gravité moyenne à la limite des cas graves,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Le Tribunal fédéral a retenu que le caractère impressionnant de l'agression était donné, compte tenu notamment de la brutalité et de l'imprévisibilité de l'attaque ainsi que la disproportion des forces en présence (arrêt du Tribunal fédéral des assurances U 36/07 du 8 mai 2007).</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A/1458/2014 - 19/24 -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A/1458/2014 - 20/24 -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la recourante soutient que le lien de causalité naturelle entre ses troubles psychiques - incontestés - et l’accident doit être reconnu au-delà de novembre 2011. Ses arguments, selon lesquels la persistance de ces troubles psychiques aussi longtemps après l’évènement serait à mettre sur le compte d’une « réactivation » à chaque fois qu’elle se heurte à des difficultés fonctionnelles ne convainc pas. Les explications détaillées de l’expert I______, en revanche, à l’issue d’une expertise remplissant tous les critères pour se voir reconnaître une pleine valeur probante, permettent de comprendre qu’à moins de situations exceptionnelles telles qu’internement en camp de concentration, torture ou autre expérience aussi atroce, la persistance de troubles psychiques au-delà de six mois ne saurait s’expliquer par le seul évènement traumatique. Le psychiatre traitant n’amène d’ailleurs aucun élément médical objectif permettant de s’écarter des conclusions du Dr I______. Il ne fait en réalité que substituer sa propre appréciation de la situation à celle de l’expert. La relation de causalité naturelle entre les troubles psychiques persistants au-delà de six mois et l’accident doit donc être niée, tout comme, d’ailleurs, tout lien de causalité adéquate. En effet, l’accident dont a été victime l’assurée doit se voir qualifier, au vu des circonstances et de la jurisprudence du TF, de moyennement grave. Or, les conditions permettant de reconnaître le lien de causalité adéquate dans de tels cas ne sont manifestement pas remplies tant il est vrai que l’accident n’a pas revêtu un caractère particulièrement impressionnant, qu’il n’y a pas eu d’erreur médicale, que les lésions physiques, bien que graves, n’étaient pas, selon l'expérience, à entraîner des troubles psychiques d’une telle ampleur. Même si le traitement médical a été d’une durée anormalement longue - s’expliquant sans doute par une algoneurodystrophie selon le Dr H______ -, cela ne saurait suffire pour admettre la persistance d’un lien de causalité adéquate au-delà du laps de temps indiqué par l’expert psychiatre. C’est dès lors à juste titre que l’intimée a nié toute causalité entre les troubles psychiques encore présents et l’accident au-delà du 11 novembre 2013. Ce grief est également rejeté.</w:t>
      </w:r>
    </w:p>
    <w:p>
      <w:r>
        <w:rPr>
          <w:b/>
        </w:rPr>
        <w:t>E. 10</w:t>
      </w:r>
    </w:p>
    <w:p>
      <w:r>
        <w:t>Il en découle que la capacité de travail de la recourante et son degré éventuel d’invalidité ne peuvent être appréciés qu’au seul regard de ses affections somatiques, en faisant abstraction non seulement des troubles psychiques mais également des facteurs étrangers à l’accident (âge, absence de formation ou manque de maîtrise du français).</w:t>
      </w:r>
    </w:p>
    <w:p>
      <w:r>
        <w:t>A/1458/2014 - 21/24 - Force est de constater à cet égard que les conclusions du Dr H______ sont corroborées tant par celles du Dr D______ que par celles des médecins de la CRR. Aucun de ces médecins - pas plus que le médecin traitant de la recourante, d’ailleurs - n’a pu objectiver de limitations fonctionnelles majeures au niveau des poignets, si ce n’est un manque de force et la persistance des douleurs rapportée. Il convient donc de se ranger à leurs conclusions, à savoir une pleine capacité de travail dans une activité adaptée aux limitations fonctionnelles énoncées. Quant au calcul du degré d’invalidité en lui-même, il n’est pas contesté par la recourante, qui se contente de conclure à une rente de 100% au motif qu’elle ne peut plus exercer la moindre activité. Là encore, c’est à juste titre que l’intimée a limité le droit à la rente à 10%, étant rappelé que l’assureur-accidents n’a pas à prendre en compte des facteurs étrangers à la perte de gain en relation de causalité avec l’évènement assuré.</w:t>
      </w:r>
    </w:p>
    <w:p>
      <w:r>
        <w:rPr>
          <w:b/>
        </w:rPr>
        <w:t>E. 11</w:t>
      </w:r>
    </w:p>
    <w:p>
      <w:r>
        <w:t>Quant à l’IPAI, la recourante la conteste également, concluant à l’octroi d’une indemnité de 90%, 45% (30% + 15%) par poignet en application de la table 1 de la SUVA.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w:t>
      </w:r>
    </w:p>
    <w:p>
      <w:r>
        <w:t>A/1458/2014 - 22/24 -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c.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des assurances U 173/00 du 22 septembre 2000 consid. 2; RAMA 1998 p. 602). Par ailleurs, une révision de l'indemnité n’est possible qu’en cas exceptionnel, si l’aggravation est importante et n’était pas prévisible (art. 36 al. 4 2ème phrase</w:t>
      </w:r>
    </w:p>
    <w:p>
      <w:r>
        <w:t>A/1458/2014 - 23/24 - OLAA; cf. arrêt du Tribunal fédéral 8C_459/2008 du 4 février 2009 consid. 2.1.3; arrêt du Tribunal fédéral des assurances U 124/01 du 22 novembre 2001 consid. 1b). Elle doit être d'au moins 5 % de plus que ce qui était pronostiqué (RAMA 1991 p. 306). d. La table 1 d’indemnisation des atteintes à l’intégrité selon la LAA de la SUVA, prévoit, pour les poignets, les indemnisations suivantes : - bloqué en extension avec perte de la pronation et de la supination 25 % - bloqué en flexion ou en extension à 45° 30 % - arthrodèse radiocarpienne</w:t>
      </w:r>
    </w:p>
    <w:p>
      <w:r>
        <w:rPr>
          <w:b/>
        </w:rPr>
        <w:t>E. 15</w:t>
      </w:r>
    </w:p>
    <w:p>
      <w:r>
        <w:t>% - arthrodèse intracarpienne 10 %</w:t>
      </w:r>
    </w:p>
    <w:p>
      <w:r>
        <w:t>La table 5 d’indemnisation des atteintes à l’intégrité selon la LAA de la SUVA, prévoit les indemnisations en cas d’atteintes résultant d’arthrose.</w:t>
      </w:r>
    </w:p>
    <w:p>
      <w:r>
        <w:t>e. En l’espèce, le Dr H______ a évalué l’IPAI à 20% - soit 10% pour chaque poignet - expliquant que si une arthrose était à craindre, elle n’était pour l’heure pas prévisible. La Cour relèvera en premier lieu qu’ainsi que le fait remarquer à juste titre l’intimée, un taux de 90% tel que calculé par elle correspond à ce qui est accordé en cas de paraplégie, affection avec laquelle les séquelles résiduelles de l’assurée ne sont manifestement pas comparables. Si la recourante rencontre objectivement quelques limitations qui lui interdisent - il est vrai - la poursuite de son activité habituelle (perte de force et diminution de la mobilité), on ne saurait les comparer comme elle le fait à celles d’une personne ayant les deux poignets bloqués à 45°. Elle n’a pas non plus subi d’arthrodèse. L’évaluation du Dr H______, qui a tenu compte d’une arthrose moyenne alors même que celle-ci ne s’est pas encore développée apparaît donc plutôt favorable à la recourante et ne saurait être augmentée. A part ses propres calculs, la recourante n’amène aucun élément objectif permettant de s’écarter de l’appréciation de l’expert. Son grief à cet égard est également rejeté. 12. Au vu de ce qui précède, le recours est rejeté. Pour le surplus, la procédure est gratuite (art. 61 let. a LPGA).</w:t>
      </w:r>
    </w:p>
    <w:p>
      <w:r>
        <w:t>A/1458/2014 - 24/24 -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