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ATAS/575/2014 vom 6. Mai 2014</w:t>
      </w:r>
    </w:p>
    <w:p>
      <w:r>
        <w:t>GE Cour de justice, 2014-05-06, FR</w:t>
      </w:r>
    </w:p>
    <w:p>
      <w:r>
        <w:rPr>
          <w:b/>
        </w:rPr>
        <w:t xml:space="preserve">Quelle: </w:t>
      </w:r>
      <w:r>
        <w:t>https://mcp.opencaselaw.ch/entscheid/ge_gerichte_ATAS_575_2014</w:t>
      </w:r>
    </w:p>
    <w:p>
      <w:r>
        <w:t>FR: GE_GERICHTE ATAS/575/2014 du 6 mai 2014</w:t>
      </w:r>
    </w:p>
    <w:p>
      <w:r>
        <w:t>IT: GE_GERICHTE ATAS/575/2014 del 6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w:t>
      </w:r>
    </w:p>
    <w:p>
      <w:r>
        <w:t>A/2155/2012 - 13/25 -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c)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w:t>
      </w:r>
    </w:p>
    <w:p>
      <w:r>
        <w:t>A/2155/2012 - 17/25 -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w:t>
      </w:r>
    </w:p>
    <w:p>
      <w:r>
        <w:rPr>
          <w:b/>
        </w:rPr>
        <w:t>E. 5</w:t>
      </w:r>
    </w:p>
    <w:p>
      <w:r>
        <w:t>Le litige porte sur le droit de l'assurée à une rente d'invalidité, singulièrement sur son statut et sur la sévérité de son trouble dépressif.</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Selon la jurisprudence, une décision par laquelle l'assurance-invalidité accorde une rente d'invalidité avec effet rétroactif et, en même temps, prévoit l'augmentation, la</w:t>
      </w:r>
    </w:p>
    <w:p>
      <w:r>
        <w:t>A/2155/2012 - 14/25 -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ATF 130 V 393 consid. 3.3 et ATF 125 V 146 consid. 2c ainsi que les références).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ATF 134 V 9; voir également arrêts I</w:t>
      </w:r>
    </w:p>
    <w:p>
      <w:r>
        <w:t>A/2155/2012 - 15/25 - 156/04 du 13 décembre 2005 consid. 6.2, in SVR 2006 IV n° 42 p. 151, et 9C_713/2007 du 8 août 2008 consid. 4).</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w:t>
      </w:r>
    </w:p>
    <w:p>
      <w:r>
        <w:t>A/2155/2012 - 16/25 -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A/2155/2012 - 18/25 -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b) La reconnaissance de l'existence de troubles somatoformes douloureux persistants suppose d'abord la présence d'un diagnostic émanant d'un expert (psychiatre) et s'appuyant lege artis sur les critères d'un système de classification</w:t>
      </w:r>
    </w:p>
    <w:p>
      <w:r>
        <w:t>A/2155/2012 - 19/25 -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c)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w:t>
      </w:r>
    </w:p>
    <w:p>
      <w:r>
        <w:t>A/2155/2012 - 20/25 -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11</w:t>
      </w:r>
    </w:p>
    <w:p>
      <w:r>
        <w:t>En l'espèce, l'OAI a retenu que l'assurée avait été incapacité de travailler à 50% du 1er novembre 2008 au 20 avril 2009 en raison de troubles somatiques, puis à 100% du 20 avril 2009 au 31 juillet 2010 en raison de troubles somatiques et psychiques et qu'elle avait retrouvé une capacité de travail de 50% dès le 1er août 2010 dans une activité adaptée à ses limitations fonctionnelles, soit les mouvements répétés de flexion/extension, l’attitude en porte-à-faux, le port de charges au-delà de 10 kg, la position statique debout au-delà de trente minutes et assise au-delà d'une heure trente. Selon les Drs G_____ et H_____ ainsi que le SMR, l'assurée souffre d'une fibromyalgie et de troubles objectivés au niveau lombaire, ainsi que d'un trouble dépressif dont la gravité implique de retenir une comorbidité importante, le trouble étant au surplus invalidant en présence de trois critères jurisprudentiels. Dès août 2010, la fibromyalgie n'est plus invalidante selon le SMR. En raison des objections motivées des médecins traitants de l'assurée quant à la sévérité du trouble dépressif en particulier, la Cour de céans a dû ordonner une expertise. Le rapport d'expertise des Drs I_____ et J_____ peut se voir reconnaître pleine valeur probante au sens de la jurisprudence, dès lors qu'il est fondé sur des examens complets, tient compte des plaintes exprimées, a été établi en pleine connaissance du dossier, les conclusions des experts étant claires et motivées. Contrairement à ce que soutiennent les parties, les réponses des deux experts sont consensuelles après avoir fait l'objet de trois discussions, de sorte qu'il s'agit bien d'une expertise bi-disciplinaire et non pas de deux expertises. Le fait que l'assurée ait été vue séparément par les experts et que ceux-ci aient au préalable rédigé leur partie de l'expertise s'agissant du status, des plaintes, des diagnostics et des limitations n'est pas relevant. Sur le plan rhumatologique, les conclusions du Dr I_____ rejoignent celles du SMR, s'agissant des diagnostics, des limitations fonctionnelles et, globalement, de la capacité de travail de 50% dans l'activité de caissière. Il retient toutefois qu'en tenant compte seulement des troubles rhumatologiques objectivés, la capacité serait de 100% dans une activité strictement adaptée. Les parties ne contestent pas ces conclusions et aucun avis circonstancié d'un autre médecin ne permet de les remettre en cause. Du point de vue psychiatrique, le Dr J_____ retient un trouble dépressif récurrent, épisode actuel moyen et une dysthymie. Il a exposé de façon convaincante les raisons qui l'ont conduit à retenir, d'une part, que le trouble était récurrent, contrairement à l'avis de la Dresse H_____ et, d'autre part, pourquoi cet état dépressif était indépendant du syndrome douloureux. Au surplus, l'expert a éclairci ses conclusions et répondu de façon circonstanciée aux critiques de la recourante. La gravité de l'état dépressif est appréciée sur la base des éléments objectifs</w:t>
      </w:r>
    </w:p>
    <w:p>
      <w:r>
        <w:t>A/2155/2012 - 21/25 - ressortant de l'examen clinique et des plaintes de la patiente, mais l'autoévaluation n'est pas déterminante, car un score aussi élevé implique nécessairement une hospitalisation en milieu psychiatrique. Tout comme la Dresse H_____, l'expert a relevé que l'assurée ne présentait pas de trouble de la concentration, de l'attention et de la mémoire, pas d'idéation suicidaire, pas de perte d'appétit (ni de poids en 2013) ou de sommeil significatifs, et il explique ainsi pourquoi, en tenant compte globalement de l'état de l'assurée lors des deux examens pratiqués, celle-ci présentait alors un état dépressif de sévérité moyenne, à la limite du sévère, mais pas un état sévère. Cette appréciation n'est pas contradictoire avec les constations du Dr K_____ en avril 2009, (perte de poids de 5 kilos et présence très marquée d'éléments de la lignée dépressive), car à cette période, la dépression était sévère. S'agissant de l'évolution de l'état dépressif, en audience, l'expert a précisé qu'il ne remettait pas en cause le fait que l'assurée ait présenté d'avril 2009 à juillet 2010 un épisode sévère, mais souhaitait préciser qu'il n'y avait jamais eu de rémission complète et que l'assurée n'avait jamais recouvré une totale capacité de travail du point de vue psychiatrique, s'écartant à ce propos des conclusions du SMR. S'il appartenait au seul psychiatre traitant de signaler les périodes d'aggravation, le dossier ne permettait pas de retenir un autre épisode sévère depuis août 2010, le Dr E_____ estimant le degré de gravité inchangé (épisode sévère selon lui sans amélioration de la capacité de travail) de 2008 jusqu'à l'expertise. Au surplus, il n'est pas établi que l'état thymique de la recourante fluctue au gré de périodes de sévérité successives au point où il ne serait alors pas raisonnablement envisageable de trouver et de conserver un emploi. De façon générale, les experts n'ont pas à justifier le fait de ne pas retenir de baisse de rendement s'ils fixent la capacité résiduelle de travail d'un assuré globalement. A cet égard, l'expert a exposé de façon convaincante le taux d'incapacité de travail retenu en fonction, d'une part, de la gravité de l'état dépressif et, d'autre part, des exigences de la profession. Si le manque d'énergie est un élément central de la dysthymie et rend difficile tout effort de travail et ménager, l'activité de caissière n'exige pas un niveau de concentration optimal, un sommeil parfaitement préservé et une motivation intacte. En conséquence, c'est bien en raison du fait que l'état dépressif est moyen, à la limite du sévère qu'une capacité de travail limitée à 50% a été retenue, alors que dans de nombreux cas, un état dépressif moyen ne justifie aucune incapacité de travail. S'agissant du traitement médical, il n'y a pas de contradiction dans les réponses de l'expert, qui constate d'une part que l'assurée s'est soumise à des traitements classiques qui sont restés sans effet significatif tout en suggérant une approche de type psycho-éducatif, visant notamment à mobiliser la patiente et à la coacher, plutôt qu'à persévérer dans la voie de l'entretien psychothérapeutique. S'agissant des répercussions de la fibromyalgie sur la capacité de travail, l'avis du SMR n'est que partiellement contradictoire. Lorsque l'état dépressif était sévère, une comorbidité a été retenue, ainsi que trois des critères de la jurisprudence. En</w:t>
      </w:r>
    </w:p>
    <w:p>
      <w:r>
        <w:t>A/2155/2012 - 22/25 - présence d'un état dépressif moyen, la comorbidité n'est pas assez grave, mais il est vrai que cela reste sans effet sur la réalisation des trois critères retenus. Tout cela n'est cependant pas déterminant puisque l'expert a exposé de façon précise que l'état dépressif n'était pas consécutif à l'état douloureux. Il est ainsi établi que l'assurée dispose globalement d'une capacité de travail de 50% dans son activité habituelle et dans toute autre activité adaptée à ses limitations somatiques, sans diminution de rendement et ce depuis août 2010.</w:t>
      </w:r>
    </w:p>
    <w:p>
      <w:r>
        <w:rPr>
          <w:b/>
        </w:rPr>
        <w:t>E. 12</w:t>
      </w:r>
    </w:p>
    <w:p>
      <w:r>
        <w:t>S'agissant du statut de la recourante, il s'avère que celle-ci est revenue en Suisse en 2001 et elle semble alors avoir travaillé à 100%, au vu du montant de son salaire de femme de chambre dans un hôtel (CHF 42'000.- par an en moyenne) par rapport à celui réalisé à la B______ depuis 2004 à 73% (CHF 34'000.- par an en moyenne). En 2004, ses enfants étaient âgés de 18 ans, 17 ans et 10 ans, de sorte que l'assurée pouvait alors continuer à travailler à plein temps. Toutefois, il ressort très clairement du rapport circonstancié du Dr L_____ d'octobre 2009 que l'assurée a changé de métier en 2004, en raison du fait que son état de santé somatique ne lui permettait plus de travailler en tant que femme de chambre. Cela ressort aussi du rapport d'évaluation de l'OAI du 28 octobre 2009. Au début de l'instruction, l'assurée n'a pas été questionnée par écrit sur le taux d'activité qui aurait été le sien sans aucune atteinte à la santé. On ne sait pas non plus si l'assurée a pris un emploi à 73% à la B______ par choix et dans ce cas pourquoi, ou parce que l'employeur imposait un taux réduit ou en raison de ses limitations fonctionnelles somatiques. L'assurée aurait déclaré à l'enquêtrice que, sans atteinte à la santé, elle aurait continué à travailler à 73% à la B______ de l'aéroport, car cela lui permettait de ne travailler qu'un samedi par mois au lieu de deux, sans que l'on sache si cet avantage aurait pu être maintenu à 100% également. Au surplus, la situation financière difficile est relevée par l'enquêtrice alors que l'assurée est sans revenu, mais ne permet pas de retenir, sans connaitre le salaire du mari et les charges du couple, que l'assurée aurait travaillé à 100% sans atteinte à la santé. On ne sait pas si l'époux de l'assurée a eu une importante augmentation de revenu en 2003 ou 2004, qui permettait à l'assurée de travailler moins. A défaut, on conçoit mal que l'assurée ait diminué son temps de travail et son salaire alors que le plus jeune de ses enfants avait 10 ans, si ce n'est en raison de son état de santé. Finalement, l'éventualité d'une séparation du couple pencherait aussi en faveur d'un statut purement professionnel. Il n'est donc pas établi au degré de la vraisemblance prépondérante que l'assurée présente un statut mixte, à raison de 73,17% professionnel et 26,83 ménager, ni qu'elle est active à 100%. Sur ce point donc, la cause sera renvoyée à l'OAI pour instruction complémentaire.</w:t>
      </w:r>
    </w:p>
    <w:p>
      <w:r>
        <w:rPr>
          <w:b/>
        </w:rPr>
        <w:t>E. 13</w:t>
      </w:r>
    </w:p>
    <w:p>
      <w:r>
        <w:t>Cela étant dit, dans l'hypothèse d'un statut mixte, l'OAI n'a pas pratiqué une "double réduction" lors du calcul du taux d'invalidité, mais appliqué la loi et la jurisprudence (cf. notamment ATF 137 V 334 soit l'arrêt 9C 790/2010 publié) selon lesquelles il faut, pour l'invalidité professionnelle comparer le salaire sans invalidité</w:t>
      </w:r>
    </w:p>
    <w:p>
      <w:r>
        <w:t>A/2155/2012 - 23/25 - à 73% et le salaire d'invalide réalisable à 50%, puis appliquer le taux d'empêchement au taux d'activité, et, pour la part ménagère, appliquer le taux d'empêchement au taux ménager. Pour la part professionnelle, si le statut mixte devait se confirmer, la recourante ne critique pas à juste titre les revenus comparés, soit d'une part, le salaire qu'elle aurait réalisé à la B______ en travaillant à 73% en 2009 (CHF 37'310.-) avec celui qu'elle aurait pu réaliser à 50% dans le même métier (CHF 37'310.- ./. 73 x 100 ./. 2 = CHF 25'555.-). Le taux d'invalidité serait alors de 31,5% x 73%, soit de 22,99% arrondi à 23% comme suit : [(37'310.- - 25'555.- x 100 ./. 37'310 ) x 73%]. Si un statut professionnel était retenu, le taux d'invalidité serait de 50%, l'assurée disposant d'une capacité de 50% dans toute activité, y compris celle de caissière. Pour la part ménagère, l'assurée estime que ses empêchements n'ont pas été appréciés à leur juste mesure. Elle reproche aux experts de ne pas avoir précisément évalué sa capacité ménagère, ceux-ci renvoyant la chambre de céans à une enquête ménagère. D'une part, l'assurée n'expose pas en quoi l'enquête ménagère serait contestable. Elle se borne à affirmer que l'incapacité de 50% doit également être appliquée aux empêchements ménagers, ignorant ainsi la jurisprudence concernant l'obligation de réduire le dommage en organisant ses tâches ménagères ainsi que l'aide exigible de la famille. D'autre part, les taux d'empêchement retenus tiennent correctement compte d'un état dépressif de gravité moyenne, y compris des fluctuations selon les jours, dès lors que l'assurée peut effectuer les tâches qu'elle est encore capable d'assumer les jours où elle va un peu mieux. Finalement, l'avis de l'expert n'est pas contradictoire avec les constatations faites par l'enquêtrice. L'assurée n'est pas empêchée d'organiser ses tâches. Selon les jours, elle est totalement incapable de sortir pour faire des courses, mais compte tenu de l'exigibilité de la famille, l'empêchement de 30% est compensé. Il n'est pas excessif que le mari fasse les grandes courses le weekend et les fils les petites courses durant la semaine. Pour les travaux de nettoyage, qui sont vraisemblablement les plus difficiles à assumer, en raison des douleurs, du manque de motivation et de la fatigue, un empêchement de 80% a été retenu, car l'assurée peut encore de temps en temps faire la poussière et des petits nettoyages. L'exigibilité de 20% concerne le fils (qui nettoie sa chambre) et le mari (qui fait un peu de ménage le weekend), mais les travaux de la belle-fille qui supplée entièrement l'assurée n'ont pas été pris en compte à juste titre. L'état de santé de l'assurée ne l'empêche pas de préparer un repas simple à midi, puis de nettoyer la table, l'évier et faire la vaisselle légère, de sorte que l'empêchement de 35% n'est pas critiquable. L'exigibilité des membres de la famille est retenue pour la préparation du repas du soir (le mari) et la vaisselle du soir (qui peut être faite en alternance par le mari et le fils). Par contre, il s'avère que le mari et le fils sont déjà largement mis à contribution pour la cuisine (tous les soirs), le nettoyage (le weekend) et les courses (le weekend pour le mari et la semaine pour le fils), de sorte qu'il n'est pas raisonnable de leur attribuer encore une partie de la lessive, qui est d'ailleurs pour partie assumée par l'assurée et pour le</w:t>
      </w:r>
    </w:p>
    <w:p>
      <w:r>
        <w:t>A/2155/2012 - 24/25 - reste par sa belle-fille. Toutefois, dans l'hypothèse où le statut mixte se confirmait, cela restera sans conséquence sur le droit de l'assurée à une rente. Le taux d'empêchement pondéré avec exigibilité serait alors de 22,25%, de sorte que le taux d'invalidité global passerait à 29% au lieu de 28%. De même, si la pondération de l'alimentation par rapport au ménage se discute dans le cas d'espèce et si l'on attribuait au mari et au fils plutôt la tâche de plier et ranger le linge au lieu du nettoyage, l'incidence sur le taux d'empêchement ménager resterait sans conséquence sur les droits de l'assurée : [Alimentation : 35% (pondération) x 5% (empêchement avec exigibilité) = 1,17%] ; [Entretien: 30% (pondération) x 80% (aucune exigibilité retenue) = 24%]. Le total des empêchements serait alors de 29,75% (1,75% + 24% + 4%), soit une invalidité ménagère de 7,98% (29,75% x 26,83%) et le taux d'invalidité global de 31% (7,98% + 23,05%), ce qui n'ouvre pas non plus le droit à une rente d'invalidité. Finalement, la prise en compte de la fatigue accrue en cas d'activité à 50% sur la capacité ménagère n'est pas automatiquement appliquée à raison de 15% d'empêchement ménager supplémentaire, ce d'autant moins qu'il n'est pas démontré que ce surcroît d'incapacité ménagère ne serait pas seulement transitoire.</w:t>
      </w:r>
    </w:p>
    <w:p>
      <w:r>
        <w:rPr>
          <w:b/>
        </w:rPr>
        <w:t>E. 14</w:t>
      </w:r>
    </w:p>
    <w:p>
      <w:r>
        <w:t>Au vu de ce qui précède, le recours sera partiellement admis et la cause renvoyée à l'intimé pour instruction complémentaire s'agissant du statut de l'assurée. Etant donné que depuis le 1er juillet 2006, la procédure n'est plus gratuite (art. 69 al. 1bis LAI), il y a lieu de condamner l'intimé au paiement d'un émolument de CHF 200.-. Le recours étant partiellement admis, l'indemnité à titre de dépens en faveur de la recourante sera limitée à CHF 1'500.-.</w:t>
      </w:r>
    </w:p>
    <w:p>
      <w:r>
        <w:t>A/2155/2012 - 25/25 -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