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ATAS/575/2012 vom 30. April 2012</w:t>
      </w:r>
    </w:p>
    <w:p>
      <w:r>
        <w:t>GE Cour de justice, 2012-04-30, FR</w:t>
      </w:r>
    </w:p>
    <w:p>
      <w:r>
        <w:rPr>
          <w:b/>
        </w:rPr>
        <w:t xml:space="preserve">Quelle: </w:t>
      </w:r>
      <w:r>
        <w:t>https://mcp.opencaselaw.ch/entscheid/ge_gerichte_ATAS_575_2012</w:t>
      </w:r>
    </w:p>
    <w:p>
      <w:r>
        <w:t>FR: GE_GERICHTE ATAS/575/2012 du 30 avril 2012</w:t>
      </w:r>
    </w:p>
    <w:p>
      <w:r>
        <w:t>IT: GE_GERICHTE ATAS/575/2012 del 30 aprile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 invalidité du 25 octobre 1968 (LPCC; RS J 7 15).</w:t>
      </w:r>
    </w:p>
    <w:p>
      <w:r>
        <w:t>A/3672/2011 - 4/7 - Sa compétence pour juger du cas d’espèce est ainsi établie. Formé dans le délai et la forme prescrits, le recours est recevable (art. 60 et 61 let. b LPGA).</w:t>
      </w:r>
    </w:p>
    <w:p>
      <w:r>
        <w:rPr>
          <w:b/>
        </w:rPr>
        <w:t>E. 2</w:t>
      </w:r>
    </w:p>
    <w:p>
      <w:r>
        <w:t>La question litigieuse consiste à savoir si l'intimé est fondé à réclamer la restitution des prestations indument touchées par le recourant entre 2006 et 2011. 3.a) Aux termes de l'art. 25 al. 1er, 1ère phrase, LPGA, les prestations indûment touchées doivent être restituées. Le droit cantonal reprend la teneur de l'art. 25 LPGA (art. 24 LPCC et 14 à 16 du règlement d’application de la loi sur les prestations cantonales complémentaires à l’assurance vieillesse et survivants et à l’assurance invalidité du 25 juin 1999). Par conséquent, les conditions et principes dégagés de l'application de l'art. 25 LPGA sont applicables à la restitution des prestations complémentaires cantonales. L'art. 25 LPGA implique que soient réunies les conditions d'une reconsidération (cf. art. 53 al. 2 LPGA) ou d'une révision procédurale (cf.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 vertu de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Le délai de péremption absolu de cinq ans commence à courir à la date du versement effectif de la prestation (ATF 112 V 180 consid. 4a; 111 V 14 consid. 3).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w:t>
      </w:r>
    </w:p>
    <w:p>
      <w:r>
        <w:t>A/3672/2011 - 5/7 - conditions mises à la restitution - une obligation de restituer (ATF 119 V 431 consid. 2; SVR 1995 IV n° 58 p. 165). La remise et son étendue font l'objet d'une procédure distincte de la restitution (cf. art. 4 al. 2 OPGA; ATF C_264/05 du 25 janvier 2006, consid. 2.1). b. Dans le domaine des assurances sociales,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c. Le recourant ne conteste pas qu'en signant le formulaire de demande de prestations, il s'était engagé à informer l'intimé sans retard de tout changement dans ses revenus et son patrimoine. La décision d'octroi de prestations du 21 juin 2001 fait état d'une fortune mobilière de 6'170 fr. Le courrier l'accompagnant indique clairement l'obligation pour le bénéficiaire de communiquer toute modification dans sa situation financière. Cette obligation lui a, par ailleurs, été rappelée régulièrement par l'intimé. Or, le recourant a conservé le capital versé en 2001, de sorte que l'état de sa fortune mobilière n'était plus le même, notamment entre 2006 et 2011, période sur laquelle porte la révision. Il n'en a toutefois pas informé l'intimé à réception des décisions postérieures à celle de 2001, de sorte qu'il n'a ainsi pas satisfait à son obligation de renseigner. Pour ce premier motif déjà, il convient de fixer le point de départ de la péremption à la date à laquelle le fait nouveau, à savoir la constitution en épargne du capital versé en 2001, a été porté à la connaissance de l'intimé, soit en décembre 2010. Le recourant objecte que le service intimé aurait dû savoir que le capital constituait un élément de sa fortune, d'une part, et, d'autre part, que celui-ci avait été négligent en ne lui réclamant aucune pièce bancaire avant 2010. Or, au vu de la situation précaire du recourant retenue en 2001, l'intimé pouvait partir de l'idée que le capital allait servir à désintéresser les créanciers, que ces derniers aient agi en recouvrement de leurs créances ou non. Il ne peut ainsi être reproché à l'intimé de ne pas avoir intégré ce montant lors des décisions d'octroi subséquentes. Par ailleurs, même s'il fallait retenir que l'intimé aurait dû intégrer ce montant et, à intervalles plus réguliers, solliciter les relevés bancaires du recourant, il n'en demeure pas moins que ses décisions d'allocation de prestations de 2006 à 2011, dans lesquelles il ne tient pas compte de la fortune d'environ 50'000 fr. du recourant, sont manifestement erronées. Cette erreur n'est apparue à l'intimé que lors de la révision périodique des conditions économiques du recourant, ce qui</w:t>
      </w:r>
    </w:p>
    <w:p>
      <w:r>
        <w:t>A/3672/2011 - 6/7 - conduit également à fixer le point de départ de la péremption au mois de décembre 2010 (cf. aussi ATF np 8C_120/2008 du 4 septembre 2008, consid. 5). En rendant la décision de restitution le 20 mai 2011, l'intimé a ainsi agi dans le délai d'une année suivant le mois de décembre 2010. Son droit n'était donc pas périmé en mai 2011. La Cour ne peut pas se prononcer, comme le souhaiterait le recourant, sur l'existence des conditions de la remise, à savoir si le recourant était de bonne foi et si la restitution le mettrait dans une situation difficile. Ces critères doivent être examinés, le cas échéant, dans un deuxième temps dans le cadre de la procédure de remise. Cette dernière fait l'objet d'une procédure distincte de la restitution et n'intervient que lorsque la décision de restitution est entrée en force (ATF 8C_602/2007 du 13 décembre 2007; 264/05 du 25 janvier 2006, consid. 2.1; ATF 132 V 42 consid. 1.2). L'intimé ne s'est au demeurant pas encore prononcé sur cette question. d. Reste à examiner si le montant dont la restitution est réclamée est correct. A cet égard, le recourant se prévaut de dettes de 20'643 fr. 40, dont il n'aurait pas été tenu compte, et produit un extrait de poursuites du 13 décembre 2011. Celui-ci fait état de différentes poursuites, qui se sont terminées par des actes de défaut de biens (indiquées par le code 700). L'intimé reconnaît ne pas avoir tenu compte des dettes existant pendant la période de juillet 2006 à mai 2011 et qu'il convient de les porter en déduction de la fortune du recourant. Le recours sera donc admis sur ce point et la cause renvoyée à l'intimé afin qu'il calcule à nouveau le droit aux prestations du recourant pendant la période du 1er juillet 2006 au 31 mai 2011 en tenant compte des dettes du recourant et détermine si un trop-perçu subsiste. Les autres paramètres du calcul de la décision de restitution ne sont pas contestés et paraissent conformes aux pièces et dispositions légales; ils sont donc confirmés.</w:t>
      </w:r>
    </w:p>
    <w:p>
      <w:r>
        <w:rPr>
          <w:b/>
        </w:rPr>
        <w:t>E. 4</w:t>
      </w:r>
    </w:p>
    <w:p>
      <w:r>
        <w:t>Dit que la procédure est gratuite et qu'aucune indemnité n'est due par l'intimé au recourant.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Maryse BRIAND</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