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ATAS/575/2011 vom 31. Mai 2011</w:t>
      </w:r>
    </w:p>
    <w:p>
      <w:r>
        <w:t>GE Cour de justice, 2011-05-31, FR</w:t>
      </w:r>
    </w:p>
    <w:p>
      <w:r>
        <w:rPr>
          <w:b/>
        </w:rPr>
        <w:t xml:space="preserve">Quelle: </w:t>
      </w:r>
      <w:r>
        <w:t>https://mcp.opencaselaw.ch/entscheid/ge_gerichte_ATAS_575_2011</w:t>
      </w:r>
    </w:p>
    <w:p>
      <w:r>
        <w:t>FR: GE_GERICHTE ATAS/575/2011 du 31 mai 2011</w:t>
      </w:r>
    </w:p>
    <w:p>
      <w:r>
        <w:t>IT: GE_GERICHTE ATAS/575/2011 del 31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En dérogation aux art. 52 et 58 LPGA, les décisions des offices AI cantonaux peuvent directement faire l’objet d’un recours devant le tribunal des assurances du domicile de l’office concerné.</w:t>
      </w:r>
    </w:p>
    <w:p>
      <w:r>
        <w:t>A/3546/2010 - 8/14 - La compétence de la Cour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 au-delà du 30 avril 2009. La période antérieure n'étant pas litigieuse, il n'y a pas lieu d'y revenir ici.</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w:t>
      </w:r>
    </w:p>
    <w:p>
      <w:r>
        <w:t>A/3546/2010 - 9/14 -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w:t>
      </w:r>
    </w:p>
    <w:p>
      <w:r>
        <w:t>A/3546/2010 - 10/14 - 318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A/3546/2010 - 11/14 -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La recourante fait grief à l'intimé d'avoir limité l'octroi de rente à avril 2009 alors même que son état ne s'est pas amélioré. Certes, l'état de l'assurée ne paraît pas s'être amélioré. C'est cependant à compter de février 2009 qu'il a été indiqué comme stabilisé et qu'il a pu être établi qu'elle avait théoriquement recouvré une capacité de travail de 50% (expertises du Dr N__________ du 5 février 2009 et expertise bidisciplinaire du 29 février 2009. Quant aux conclusions des expertises en question, force est de constater qu'elles corroborent sur le point que l'assurée dispose d'une capacité résiduelle de travail de 50% au moins dans son activité habituelle (la seconde expertise concluant même à une totale capacité de travail) et que la troisième expertise réalisée par le SMR confirme cette évaluation. Le seul argument avancé par la recourante à l'encontre de ces conclusions est l'avis du Dr L__________ - lequel n'invoque pourtant aucun élément objectif qui aurait été ignoré des différents experts qui se sont prononcés, de sorte qu'il faut conclure qu'il s'agit simplement d'une appréciation différente du cas - et celui du Dr T__________ - qui s'étonne de la capacité résiduelle de travail retenue au vu du nombre de limitations fonctionnelles admises, là encore sans amener aucun élément objectif permettant de mettre en cause les conclusions des experts. Force est de constater que rien ne permet de jeter le doute sur les conclusions convergentes des différentes expertises réalisées, de sorte qu'il y a lieu de retenir que, dans son activité habituelle de secrétaire, la recourante dispose d'une capacité résiduelle de travail de 50% depuis février 2009, date à laquelle son état a pu être considéré comme stabilisé.</w:t>
      </w:r>
    </w:p>
    <w:p>
      <w:r>
        <w:rPr>
          <w:b/>
        </w:rPr>
        <w:t>E. 10</w:t>
      </w:r>
    </w:p>
    <w:p>
      <w:r>
        <w:t>Il convient à présent de se prononcer sur le calcul du taux d'invalidité effectué par l'intimé s'agissant de la période postérieure au 30 avril 2009. .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w:t>
      </w:r>
    </w:p>
    <w:p>
      <w:r>
        <w:t>A/3546/2010 - 12/14 -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t>A/3546/2010 - 13/14 - b) En l’espèce, ni le revenu avant invalidité ni le degré d'invalidité retenu par l'intimé dans la sphère ménagère ne sont contestés. Il n'y a dès lors pas lieu de s'en écarter. Le revenu avant invalidité s'établit ainsi à 48'000 fr. pour un taux d'occupation de 80%. Quant au revenu après invalidité, il ne peut être purement et simplement fixé à 30'000 fr. compte tenu du fait que l'assurée a été licenciée par son employeur. Il convient de se référer aux salaires statistiques plus particulièrement à l'Enquête sur la structure des salaires de l'Office fédéral de la statistique (ESS) 2008 (TA1, secteur des services, niveau 4). En 2008, une femme exerçant à plein temps une activité simple dans le domaine des services (le domaine industriel étant exclu au vu des limitations retenues) pouvait espérer un revenu mensuel de 4'089 fr. en exerçant 40 h./sem., soit 4'253 fr. pour un horaire de 42 h./sem., soit 51'031 fr. par an, c'est-à-dire 25'515 fr. à 50%. Ce montant doit encore être réduit de 20% compt tenu de l'âge de l'assurée en 2008 (58 ans) et du fait qu'elle ne pourra plus exercer qu'à temps partiel, ce qui conduit à un revenu d'invalide de 20'412 fr., qui, comparé au revenu avant invalidité, conduit à un degré d'invalidité de 57.5 % dans la sphère professionnelle et à un degré d'invalidité global de 52.68% arrondi à 52,7%, ouvrant droit à une demi-rente d'invalidité. Eu égard à ces considérations, il convient de reconnaitre à l'assurée le droit à une demi-rente d'invalidité à compter du 1er mai 2009. Sur ce point, le recour sera donc admis. Il est encore relevé que l'intimé a procédé à une application correcte de l'art. 88a al. 1 RAI. En conséquence, le recours est admis au sens des considérants.</w:t>
      </w:r>
    </w:p>
    <w:p>
      <w:r>
        <w:t>A/3546/2010 - 14/14 -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