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ATAS/575/2009 vom 5. April 2006</w:t>
      </w:r>
    </w:p>
    <w:p>
      <w:r>
        <w:t>GE Cour de justice, 2006-04-05, FR</w:t>
      </w:r>
    </w:p>
    <w:p>
      <w:r>
        <w:rPr>
          <w:b/>
        </w:rPr>
        <w:t xml:space="preserve">Quelle: </w:t>
      </w:r>
      <w:r>
        <w:t>https://mcp.opencaselaw.ch/entscheid/ge_gerichte_ATAS_575_2009</w:t>
      </w:r>
    </w:p>
    <w:p>
      <w:r>
        <w:t>FR: GE_GERICHTE ATAS/575/2009 du 5 avril 2006</w:t>
      </w:r>
    </w:p>
    <w:p>
      <w:r>
        <w:t>IT: GE_GERICHTE ATAS/575/2009 del 5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A/3764/2008 6/7 31 décembre 2004, de 2,5% du 1er janvier 2005 au 31 décembre 2007 et de 2,75% à compter du 1er janvier 2008.</w:t>
      </w:r>
    </w:p>
    <w:p>
      <w:r>
        <w:rPr>
          <w:b/>
        </w:rPr>
        <w:t>E. 3</w:t>
      </w:r>
    </w:p>
    <w:p>
      <w:r>
        <w:t>En l’espèce, le juge civil a ordonné le partage par moitié des prestations de sortie acquises durant le mariage par les demandeurs. Les dates pertinentes sont, d’une part, celle du mariage, le 27 juin 1992, d’autre part le 23 mai 2006, date à laquelle le divorce est devenu exécutoire. Les griefs du demandeur, qui s’oppose au partage, doivent être déclarés irrecevables. En effet, force est de constater que le partage par moitié des avoirs de prévoyance a fait l’objet d’une décision entrée en force, les griefs du demandeur ayant été déclarés irrecevables par le Tribunal fédéral. En conséquence, la compétence du Tribunal de céans, à qui la Cour de justice a transmis la cause, se limite à l’exécution dudit partage. Le Tribunal de céans ne saurait, à cette occasion, remettre en cause la décision du juge civil, d’autant que cette dernière a désormais acquis force de chose jugée.</w:t>
      </w:r>
    </w:p>
    <w:p>
      <w:r>
        <w:rPr>
          <w:b/>
        </w:rPr>
        <w:t>E. 4</w:t>
      </w:r>
    </w:p>
    <w:p>
      <w:r>
        <w:t>Selon les documents produits, la prestation acquise pendant le mariage par le demandeur s'élève à 1'196'289 fr. tandis que celle acquise par la demanderesse atteint la somme de 37'436 fr., les intérêts ayant déjà été calculés par les institutions de prévoyance défenderesses. Ainsi le demandeur doit à son ex-épouse le montant de 598'144 fr. 50 (1'196'289 : 2) alors qu'elle lui doit celui de 18'718 fr. (37'436 : 2), de sorte que c’est en définitive le demandeur qui doit à son ex-épouse le montant de 579'426 fr. 50 (598'144.50 - 18'718). Quant à savoir si tous les revenus du demandeur ont été ou non soumis à cotisations LPP, comme le soulève la demanderesse, il ne revient pas au Tribunal de céans de le vérifier. Sa tâche se limite en effet à procéder à l’exécution du partage des avoirs de prévoyance constitués de part et d’autre. Au demeurant, la Fondation de prévoyance en faveur du personnel de X_________ a confirmé que les revenus du demandeur avaient bien été soumis à cotisation. Cela vaut également pour l’affirmation du demandeur selon laquelle le montant exact des rétributions perçues par son ex-épouse pendant la durée du mariage resterait « indéterminée ». Le demandeur insinue que les employeurs de son ex- épouse pourraient avoir accordé à cette dernière des gratifications ou indemnités qui n’auraient pas été soumises à cotisations LPP. D’une part, aucun indice au dossier n’étaye ces suppositions, d’autre part, ainsi que cela a déjà été dit supra, il n’appartient pas au Tribunal de céans, dans le cadre de la présente procédure, de procéder à ce genre de vérification mais seulement d’établir le montant des avoirs de prévoyance respectifs et de procéder à leur partage, dans la mesure déterminée par le juge civil.</w:t>
      </w:r>
    </w:p>
    <w:p>
      <w:r>
        <w:t>A/3764/2008 7/7</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