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ATAS/574/2015 vom 30. Juli 2015</w:t>
      </w:r>
    </w:p>
    <w:p>
      <w:r>
        <w:t>GE Cour de justice, 2015-07-30, FR</w:t>
      </w:r>
    </w:p>
    <w:p>
      <w:r>
        <w:rPr>
          <w:b/>
        </w:rPr>
        <w:t xml:space="preserve">Quelle: </w:t>
      </w:r>
      <w:r>
        <w:t>https://mcp.opencaselaw.ch/entscheid/ge_gerichte_ATAS_574_2015</w:t>
      </w:r>
    </w:p>
    <w:p>
      <w:r>
        <w:t>FR: GE_GERICHTE ATAS/574/2015 du 30 juillet 2015</w:t>
      </w:r>
    </w:p>
    <w:p>
      <w:r>
        <w:t>IT: GE_GERICHTE ATAS/574/2015 del 30 luglio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A/2211/2013 - 12/17 -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l'assurée s'est aggravé depuis la décision initiale du 23 octobre 2008 au point de lui ouvrir droit aux prestations de l’assurance-invalidité.</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w:t>
      </w:r>
    </w:p>
    <w:p>
      <w:r>
        <w:t>A/2211/2013 - 13/17 -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w:t>
      </w:r>
    </w:p>
    <w:p>
      <w:r>
        <w:t>A/2211/2013 - 14/17 -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A/2211/2013 - 15/17 -</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la décision initiale de l’intimé retenait qu’en l’absence de comorbidité psychiatrique suffisante, le trouble somatoforme douloureux diagnostiqué ne pouvait se voir reconnaître de valeur invalidante. Certes, sur le plan strictement orthopédique, l’état de l’assurée est resté stationnaire. Sa nouvelle demande, cependant, est motivée par une aggravation de son état</w:t>
      </w:r>
    </w:p>
    <w:p>
      <w:r>
        <w:t>A/2211/2013 - 16/17 - dépressif et, surtout, par une aggravation des problèmes ophtalmologiques et des vertiges, ainsi que par les conséquences du cocktail médicamenteux auquel elle est soumise. A cet égard, le médecin traitant a expliqué que le traitement pris par sa patiente entraîne une impossibilité à se concentrer ou à avoir une activité coordonnée. Force est de constater, au vu des rapports médicaux versés à la procédure, que des aggravations sont bel et bien alléguées par les médecins traitants sur les plans ophtalmologique et psychique. Or, l’intimé ne s’est pas prononcé quant à l’aggravation psychique alléguée, qu’il n’a pas investiguée et ce, alors même que l’expert ophtalmologue qu’il a mandaté préconisait une investigation neuropsychiatrique. Contrairement à ce que soutient l’intimé, il subsiste ainsi de nombreuses zones d'ombre quant à l’origine, à l'étendue et à l’aggravation éventuelle de la perte fonctionnelle des yeux dont souffre l'assurée et ses conséquences. En l'état, il n'est pas possible d'admettre ou d'exclure au degré de la vraisemblance prépondérante que le traumatisme qu’elle a subi ait entraîné une atteinte physique dont les effets ont conduit à une altération de la vue. La même retenue s'impose en ce qui concerne la conclusion d'une origine psychique du trouble visuel, conclusion posée par défaut, en l'absence d'un diagnostic somatique, et sans examen personnel de l'intéressée par un psychiatre. Or, une telle évolution - au caractère pour le moins inhabituel - devrait être étayée par une explication médicale circonstanciée sur les mécanismes psychiques susceptibles de mener une personne à développer, après coup et sans substrat physique évident, un état comparable à celui d'une perte de la fonction visuelle. En définitive, il faut constater que de nombreuses questions médicales restent ouvertes - en particulier l'existence éventuelle d'une affection psychiatrique susceptible d'expliquer les symptômes de l'assurée - questions auxquelles le juge ne saurait répondre à la place du médecin et qui doivent être élucidées pour permettre l'examen des répercussions en termes de capacité de travail et de gain. Vu la complexité du cas, une approche pluridisciplinaire, intégrant une discussion de synthèse entre les divers experts consultés (psychiatre, neuropsychiatre et ophtalmologue) qui auront accès à l'ensemble du dossier médical de l'assurée s'avère donc nécessaire. Eu égard aux considérations qui précèdent, le recours est partiellement admis et la cause renvoyée à l’intimé pour investigations complémentaires et nouvelle décision.</w:t>
      </w:r>
    </w:p>
    <w:p>
      <w:r>
        <w:t>A/2211/2013 - 17/17 -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