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ATAS/574/2014 vom 6. Mai 2014</w:t>
      </w:r>
    </w:p>
    <w:p>
      <w:r>
        <w:t>GE Cour de justice, 2014-05-06, FR</w:t>
      </w:r>
    </w:p>
    <w:p>
      <w:r>
        <w:rPr>
          <w:b/>
        </w:rPr>
        <w:t xml:space="preserve">Quelle: </w:t>
      </w:r>
      <w:r>
        <w:t>https://mcp.opencaselaw.ch/entscheid/ge_gerichte_ATAS_574_2014</w:t>
      </w:r>
    </w:p>
    <w:p>
      <w:r>
        <w:t>FR: GE_GERICHTE ATAS/574/2014 du 6 mai 2014</w:t>
      </w:r>
    </w:p>
    <w:p>
      <w:r>
        <w:t>IT: GE_GERICHTE ATAS/574/2014 del 6 maggio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w:t>
      </w:r>
    </w:p>
    <w:p>
      <w:r>
        <w:rPr>
          <w:b/>
        </w:rPr>
        <w:t>E. 4</w:t>
      </w:r>
    </w:p>
    <w:p>
      <w:r>
        <w:t>Le litige porte sur le montant et le calcul des prestations complémentaires, en particulier sur l'intégration dans le calcul de montants correspondant à des biens dessaisis.</w:t>
      </w:r>
    </w:p>
    <w:p>
      <w:r>
        <w:rPr>
          <w:b/>
        </w:rPr>
        <w:t>E. 5</w:t>
      </w:r>
    </w:p>
    <w:p>
      <w:r>
        <w:t>Les personnes qui ont leur domicile et leur résidence habituelle en Suisse et qui remplissent les conditions personnelles prévues aux art. 4, 6 et 8 LPC ont droit à</w:t>
      </w:r>
    </w:p>
    <w:p>
      <w:r>
        <w:t>A/3373/2013 - 9/19 -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un quinzième de la fortune nette, un dixième pour les bénéficiaires de rentes de vieillesse, dans la mesure où elle dépasse 37'500 fr. pour les personnes seules, les ressources et parts de fortune dont un ayant droit s’est dessaisi (art. 11 al. 1 let. b, c et g LPC). Ont droit aux prestations complémentaires cantonales les personnes dont le revenu annuel déterminant n’atteint pas le revenu minimum cantonal d’aide sociale applicable (art. 4 LPCC).</w:t>
      </w:r>
    </w:p>
    <w:p>
      <w:r>
        <w:rPr>
          <w:b/>
        </w:rPr>
        <w:t>E. 6</w:t>
      </w:r>
    </w:p>
    <w:p>
      <w:r>
        <w:t>a.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w:t>
      </w:r>
    </w:p>
    <w:p>
      <w:r>
        <w:rPr>
          <w:b/>
        </w:rPr>
        <w:t>E. 9</w:t>
      </w:r>
    </w:p>
    <w:p>
      <w:r>
        <w:t>a.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w:t>
      </w:r>
    </w:p>
    <w:p>
      <w:r>
        <w:t>A/3373/2013 - 13/19 - La loi cantonale, contrairement au droit fédéral, précise à l'art. 2 al. 4 LPCC que les personnes qui ont choisi au moment de la retraite un capital de prévoyance professionnelle en lieu et place d’une rente et qui l’ont consacré à un autre but que celui de la prévoyance ne peuvent bénéficier des prestations accordées en application de la présente loi. L'al. 5 précise que les caisses de pension sont tenues d'en informer leurs membres en temps utile. b. Le titre marginal de l'art. 4 A du projet de loi du 13 septembre 1991, soit l'actuel art. 2 entré en vigueur le 1er janvier 1992, mentionne "prestations versées par le 2ème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A l'occasion de la refonte complète de la loi cantonale entrée en vigueur le 1er janvier 1993, cette disposition n'a pas été rediscutée. L'exposé des motifs à l'appui du projet de loi du 29 novembre 1991 rappelle que cette disposition a été prévue "afin de prévenir les abus (…)" (Mémorial du Grand Conseil 1992/VI p. 6584). Les rapports et les débats parlementaires n'ont plus abordé cette question.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c. Dans un arrêt de principe du 21 juin 2012 (ATAS/828/2012), la Chambre de céans a rappelé que le législateur cantonal avait valablement adopté l’art. 2 al. 4 LPCC, disposant de la latitude accordée par la LPC pour fixer les conditions d’octroi des prestations cantonales. Le texte de la disposition et la volonté du législateur empêchaient d’étendre la notion de « but de prévoyance », qui était atteint lorsque le capital était utilisé pour constituer une rente viagère, acquérir un logement ou pour la couverture des besoins vitaux de l’assuré et de sa famille. Ainsi, on ne pouvait pas retenir que l’assuré qui avait disposé de son capital LPP était totalement et définitivement privé de prestations complémentaires cantonales, lorsqu’il avait consacré son capital à son entretien. La couverture des besoins vitaux</w:t>
      </w:r>
    </w:p>
    <w:p>
      <w:r>
        <w:t>A/3373/2013 - 14/19 - devait être calculée conformément aux norme et barème déterminants pour l’octroi des prestations complémentaires cantonales, en y ajoutant cependant les dépenses effectives prouvées et incontournables (impôts, frais de santé, etc.). Il ne se justifiait toutefois pas de limiter ces dépenses à celles retenues du point de vue fiscal. Toutefois, dans la mesure où le législateur avait voulu éviter les abus de la part des assurés qui n’optaient pas pour une rente de retraite qui leur aurait permis d’assurer à vie, en complément de l’AVS, l’essentiel de la couverture de leurs besoins vitaux, mais dépensaient leur capital, puis obtenaient des prestations complémentaires auxquelles ils n’auraient pas eu droit en cas de rente, il convenait de tenir compte de la situation financière qui aurait été la leur s’ils avaient reçu une rente LPP.</w:t>
      </w:r>
    </w:p>
    <w:p>
      <w:r>
        <w:rPr>
          <w:b/>
        </w:rPr>
        <w:t>E. 10</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non publié 9C_945/2011 du 11 juillet 2012, consid. 6.2).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w:t>
      </w:r>
    </w:p>
    <w:p>
      <w:r>
        <w:rPr>
          <w:b/>
        </w:rPr>
        <w:t>E. 11</w:t>
      </w:r>
    </w:p>
    <w:p>
      <w:r>
        <w:t>En l'espèce, il convient d'examiner si les éléments de revenus pris en compte par le SPC dans sa décision du 4 juillet 2013, confirmée par décision sur opposition du 25 septembre 2013, sont exacts. a. La fortune immobilière de CHF 91'000.- correspond à la valeur vénale du bungalow propriété de l'assurée en Valais conformément au rapport d'expertise du 10 janvier 2012;</w:t>
      </w:r>
    </w:p>
    <w:p>
      <w:r>
        <w:t>A/3373/2013 - 15/19 - b. La fortune mobilière (épargne) de CHF 27'496,65 est inférieure à ce qui ressort de la taxation fiscale (CHF 29'297.-) et des extraits des deux comptes en banque de l'assurée au 31 décembre 2012 (CHF 29'390.- Raiffeisen et CHF 1'755,50 BCG), soit un total de CHF 31'145.-; c. Les intérêts de l'épargne retenu de 278,80 sont nettement supérieurs au taux d'intérêt pratiqué par la banque Raiffeisen selon les extraits de compte produits, en moyenne de 0,5% (31'145.-), soit CHF 155,75 d. Le produit des biens immobiliers de CHF 4'095.- soit 4,5% de CHF 91'000.- est conforme à la législation et correspond à un loyer mensuel raisonnablement exigible pour ce type de bien de CHF 340.-. e. La rente AVS (CHF 23'592.-) et les rentes étrangères (CHF 1'774,70) correspondent aux montant effectivement perçus selon les pièces produites.</w:t>
      </w:r>
    </w:p>
    <w:p>
      <w:r>
        <w:rPr>
          <w:b/>
        </w:rPr>
        <w:t>E. 12</w:t>
      </w:r>
    </w:p>
    <w:p>
      <w:r>
        <w:t>Reste à examiner le montant des biens dessaisis et leur produit hypothétique. En premier lieu, il n'est pas nécessaire d'examiner la situation au 31 décembre de chaque année, voire se limiter au 31 décembre 2008 et 2012, mais il suffit de déterminer si la différence de fortune entre juin 2008, date de perception du capital de prévoyance et le 31 décembre 2012, date déterminante pour l'octroi de prestations dès le 1er mars 2013, est justifiée par des dépenses. A cet égard, le calcul du SPC semble erroné en particulier du fait que la fortune mobilière au 31 décembre 2008 ne s'élevait pas à CHF 78'147,25 mais à CHF 157'162.-, soit le solde des deux comptes en banque de l'assurée. En second lieu, il est établi que le salaire de l'assurée additionné à sa rente AVS dès juin 2008 était suffisant pour couvrir ses dépenses courantes. En 2009 et en 2010, ce revenu était de plus de CHF 100'000.- par an, de sorte que l'assurée pouvait non seulement assurer ses charges courantes, mais aussi payer les CHF 14'000.- d'impôts versés en 2009, même s'il s'agissait d'arriérés ce qui n'est pas démontré, et des frais de vétérinaire en 2010. En 2011, l'assurée ayant cessé de travailler en septembre, elle a perçu un salaire net de CHF 61'367.- et une rente AVS de CHF 23'388.-, soit CHF 84'755.- Ses charges fixes se sont élevées à CHF 32'078.- [loyer (12'402.-); impôts courants (13'873.-); prime d'assurance (3'203.-), franchise assurance-maladie (2'000.-), participation assurance-maladie (CHF 600.-)]. Le solde de plus de CHF 52'000.-, soit CHF 4'400.- par mois, permettait ainsi largement à l'assurée de faire face à l'intégralité de ses frais de nourriture, d'habillement, de téléphone, de SIG, de loisirs, de déplacement, de vacances, etc. D'ailleurs, il est certain que l'assurée assumait toutes ses dépenses avec les revenus versés sur son compte BCG, puisqu'elle parvenait encore à en prélever près de 10'000.- en décembre des années 2008 à 2010. En troisième lieu, l'assurée n'a pas démontré avoir dû payer d'importants impôts arriérés outre éventuellement ceux payés en 2009, les pièces produites montrant que les impôts courants étaient régulièrement payés jusqu'à fin 2011. Elle n'a pas non</w:t>
      </w:r>
    </w:p>
    <w:p>
      <w:r>
        <w:t>A/3373/2013 - 16/19 - plus rendu vraisemblable le montant des frais médicaux à sa charge, outre sa franchise et le maximum légal de la participation. En conséquence, seules les dépenses extraordinaires intervenues depuis juin 2008 peuvent être prises en considération pour justifier la diminution de fortune. Celle-ci s'élevait à environ 305'082.- au 15 juin 2008 (299'082.- Raiffeisen + environ 6'000.- BCG, soit le solde moyen au 1er décembre des années 2008 à 2011). Les dépenses suivantes sont établies par pièces entre mi-juin 2008 et fin décembre 2012: - 2008: - Impôts sur le capital LPP : 16'215.- - Dette hypothécaire : 82'534.- - Achat Toyota Argo : 18'180.- (Ainsi, au 31 décembre 2008, la fortune aurait encore dû s'élever à CHF 188'153.-, mais elle était de CHF 157'162.-, soit un dessaisissement de CHF 30'991.-et non pas de 139'269.- ce qui n'est toutefois pas déterminant). - 2009 à 2012: - Travaux d'étanchéité: 5'788.- - Dentiste : 20'640.- (EUR 17'200.-) - Achat machine à coudre : 950.- La dépense suivante peut à la rigueur être considérée comme établie au degré de la vraisemblance prépondérante: - Achat matériaux de bois en 2011 : 6'460.- Par contre, l'assurée n'a pas rendu vraisemblable qu'elle avait dû faire face aux dettes et dépenses de sa fille, malgré le fait qu'elle bénéficiait depuis 2008 d'une rente d'invalidité et vraisemblablement de prestations complémentaires, de sorte qu'il ne sera pas nécessaire d'examiner si ces dépenses auraient pu être prises en compte et à quel titre. S'agissant de l'achat d'une caravane pour son mari, dont elle est séparée depuis 15 ans, non seulement le contrat produit n'est pas signé et peu probant, mais de surcroît, cette dépense doit être considéré comme un don sans obligation légale ni contreprestation. Finalement, l'assurée n'a pas non plus rendu vraisemblable l'achat d'une deuxième voiture pour CHF 12'000.-, à défaut de quittance, étant précisé que l'assurée a d'abord indiqué l'avoir achetée en 2008 en audience pour justifier un prélèvement de CHF 14'000.- pour ensuite prétendre l'avoir achetée en 2010 pour justifier un prélèvement de CHF 13'000.- . Dès janvier 2012, l'assurée ne bénéficiant que de sa rente AVS, puis des très faibles rentes étrangères, il est établi qu'elle a dû puiser dans ses économies pour faire face à ses charges fixes de CHF 18'445.- [loyer (12'402.-); impôts courants (aucun selon l'attestation de l'AFC); prime d'assurance (3'443.-), franchise assurance-maladie (2'000.-), participation assurance-maladie (CHF 600.-)], auxquelles on doit ajouter</w:t>
      </w:r>
    </w:p>
    <w:p>
      <w:r>
        <w:t>A/3373/2013 - 17/19 - en tout cas le forfait pour dépenses courantes applicable aux prestations fédérales (CHF 19'210.-) et, à l'instar de ce que le Tribunal fédéral retient, un montant complémentaire de 1'000.- par mois qu'un assuré dépense en général en plus lorsqu'il n'est pas restreint par le forfait du SPC. Ainsi, pour faire face à ses charges (49'655.-).-après avoir dépensé sa rente AVS (23'592), l'assurée a dû prélever CHF 26'063.- de ses économies en 2012. Au total donc, l'assurée a justifié de dépenses de juin 2008 à décembre 2012 ayant une contrepartie pour un montant de CHF 176'830.- Au 31 décembre 2012, sa fortune aurait donc dû s'élever à CHF 128'252.- (305'082.- - 176'830.-), mais elle était de CHF 31'145.- [29'390.-(solde au 31.12.2012 banque Raiffeisen) + 1'755.- (solde au 31.12.2012 BCG)] de sorte que c'est une somme de CHF 97'107.- qui peut être retenue comme un dessaisissement de fortune au 31 décembre 2012. D'ailleurs, l'assurée n'a pas été en mesure de donner des explications claires s'agissant des importants retraits effectués sur son compte Raiffeisen chaque année de 2008 à 2011 pour plus de CHF 20'000.- par an, en sus de l'utilisation de son salaire et de sa rente AVS par prélèvement de son compte BCG. Les intérêts sur ce montant sont ainsi fixés à CHF 291.30 (97'107.- x 0,3%).</w:t>
      </w:r>
    </w:p>
    <w:p>
      <w:r>
        <w:rPr>
          <w:b/>
        </w:rPr>
        <w:t>E. 13</w:t>
      </w:r>
    </w:p>
    <w:p>
      <w:r>
        <w:t>La récapitulation des éléments de revenus de l'assurée est donc établie ainsi: - Rente AVS :</w:t>
      </w:r>
    </w:p>
    <w:p>
      <w:r>
        <w:t>23'592.-</w:t>
      </w:r>
    </w:p>
    <w:p>
      <w:r>
        <w:t>23'592.-</w:t>
      </w:r>
    </w:p>
    <w:p>
      <w:r>
        <w:t>- Epargne:</w:t>
      </w:r>
    </w:p>
    <w:p>
      <w:r>
        <w:t>31'145.- - Biens dessaisis:</w:t>
      </w:r>
    </w:p>
    <w:p>
      <w:r>
        <w:t>97'107.- - Fortune immobilière: 91'000.- - Total:</w:t>
      </w:r>
    </w:p>
    <w:p>
      <w:r>
        <w:t>219'249.- - 37'500.- ./. 10 18'175,20</w:t>
      </w:r>
    </w:p>
    <w:p>
      <w:r>
        <w:t>- Intérêts de l'épargne: 155,75 - Produits biens dessaisis 291,30 - Produits biens immobiliers: 4'095.-</w:t>
      </w:r>
    </w:p>
    <w:p>
      <w:r>
        <w:t>4'542,05</w:t>
      </w:r>
    </w:p>
    <w:p>
      <w:r>
        <w:t>- TOTAL:</w:t>
      </w:r>
    </w:p>
    <w:p>
      <w:r>
        <w:t>46'309,25 Compte tenu du montant des dépenses (31'612.-), l'excédent de revenus (14'697.-) permet au SPC de refuser des prestations fédérales à l'assurée.</w:t>
      </w:r>
    </w:p>
    <w:p>
      <w:r>
        <w:rPr>
          <w:b/>
        </w:rPr>
        <w:t>E. 14</w:t>
      </w:r>
    </w:p>
    <w:p>
      <w:r>
        <w:t>L'assurée ne peut pas prétendre à des prestations cantonales, dès lors qu'elle a consacré son capital LPP à d'autres fins que la prévoyance et que, si elle avait opté pour une rente au lieu d'un capital, elle aurait bénéficié à vie d'un revenu annuel d'au moins CHF 43'767.-, ce qui est supérieur aux dépenses admises par le SPC et aurait ainsi exclu toute prestation. Au surplus, outre le fait que la question du</w:t>
      </w:r>
    </w:p>
    <w:p>
      <w:r>
        <w:t>A/3373/2013 - 18/19 - montant de la rente AVS excède l'objet du litige, les explications données par la caisse concernant le nombre d'années de cotisations – avant 64 ans – sont claires.</w:t>
      </w:r>
    </w:p>
    <w:p>
      <w:r>
        <w:rPr>
          <w:b/>
        </w:rPr>
        <w:t>E. 15</w:t>
      </w:r>
    </w:p>
    <w:p>
      <w:r>
        <w:t>Le recours est rejeté et la procédure est gratuite.</w:t>
      </w:r>
    </w:p>
    <w:p>
      <w:r>
        <w:t>A/3373/2013 - 19/19 -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