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ATAS/573/2017 vom 28. Juni 2017</w:t>
      </w:r>
    </w:p>
    <w:p>
      <w:r>
        <w:t>GE Cour de justice, 2017-06-28, FR</w:t>
      </w:r>
    </w:p>
    <w:p>
      <w:r>
        <w:rPr>
          <w:b/>
        </w:rPr>
        <w:t xml:space="preserve">Quelle: </w:t>
      </w:r>
      <w:r>
        <w:t>https://mcp.opencaselaw.ch/entscheid/ge_gerichte_ATAS_573_2017</w:t>
      </w:r>
    </w:p>
    <w:p>
      <w:r>
        <w:t>FR: GE_GERICHTE ATAS/573/2017 du 28 juin 2017</w:t>
      </w:r>
    </w:p>
    <w:p>
      <w:r>
        <w:t>IT: GE_GERICHTE ATAS/573/2017 del 28 giugno 2017</w:t>
      </w:r>
    </w:p>
    <w:p>
      <w:pPr>
        <w:pStyle w:val="Heading2"/>
      </w:pPr>
      <w:r>
        <w:t>Erwägungen</w:t>
      </w:r>
    </w:p>
    <w:p>
      <w:r>
        <w:rPr>
          <w:b/>
        </w:rPr>
        <w:t>E. 1</w:t>
      </w:r>
    </w:p>
    <w:p>
      <w:r>
        <w:t>Aux termes de l’art. 21 de la loi sur la procédure administrative du 12 septembre 1985 (LPA ; RSGE 5 10), l’autorité peut d’office ou sur requête ordonner des mesures provisionnelles en exigeant au besoin des sûretés (al. 1). Ces mesures sont</w:t>
      </w:r>
    </w:p>
    <w:p>
      <w:r>
        <w:t>A/2540/2017 - 6/11 - ordonnées par le Président s’il s’agit d’une autorité collégiale ou d’une juridiction administrative (al. 2).</w:t>
      </w:r>
    </w:p>
    <w:p>
      <w:r>
        <w:rPr>
          <w:b/>
        </w:rPr>
        <w:t>E. 2</w:t>
      </w:r>
    </w:p>
    <w:p>
      <w:r>
        <w:t>Seules des mesures provisionnelles sont expressément prévues par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volume 2, 3ème édition, Berne 2011, p. 306, N.2.2.6.8 et jurisprudences citées ; I. HÄNER, Vorsorgliche Massnahmen im Verwaltungsverfahren und Verwaltungsprozess, RDS 1997 II 254 ss).</w:t>
      </w:r>
    </w:p>
    <w:p>
      <w:r>
        <w:rPr>
          <w:b/>
        </w:rPr>
        <w:t>E. 3</w:t>
      </w:r>
    </w:p>
    <w:p>
      <w:r>
        <w:t>En l’espèce, l’urgence n’est pas telle qu’elle impose de statuer avant que les défenderesses soient entendues, dès lors que la demanderesse requière la remise en vigueur du numéro de concordat RCC dès le 1er juillet 2017, soit plus de trois semaines après le dépôt de sa demande. Dans la mesure où les défenderesses se sont déterminées, la demande de mesures superprovisionnelles est devenue sans objet.</w:t>
      </w:r>
    </w:p>
    <w:p>
      <w:r>
        <w:rPr>
          <w:b/>
        </w:rPr>
        <w:t>E. 4</w:t>
      </w:r>
    </w:p>
    <w:p>
      <w:r>
        <w:t>a. De jurisprudence constante, les mesures provisionnelles ont pour objet de régler transitoirement la situation en cause jusqu’à ce que soit prise la décision finale (ATA/326/2011 ; ATA/197/2011 du 28 mars 2011 ; P. MOOR, op. cit., numéro 2.2.6.8 p. 267). Elles sont modifiables pendant le cours de la procédure et les demandes s’y rapportant peuvent être déposées en tout temps. b. Outre les domaines du droit expressément énumérés à l’art. 1 al. 3 de la loi fédérale sur la procédure administrative du 20 décembre 1968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(ATAS /582/2005). c.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(ATA/326/2011 du 19 mai 2011; ATA/197/2011 du 28 mars 2011 et les références citées; HÄNER, idem). Compte tenu de l’étroite connexité liant l’effet suspensif aux autres mesures provisionnelles au sens de l’art. 56 PA, les principes applicables au retrait de l’effet suspensif s’appliquent par analogie à ces mesures. Selon la jurisprudence, l’autorité de recours saisie d’une requête en restitution de l’effet suspensif doit procéder à une pesée des intérêts en présence. Dès lors, l’autorité qui se prononce sur l’ordonnance</w:t>
      </w:r>
    </w:p>
    <w:p>
      <w:r>
        <w:t>A/2540/2017 - 7/11 - d’autres mesures (provisionnelles) d’après l’art. 56 de la loi fédérale sur la procédure administrative du 20 décembre 1968 (PA - RS 172.021)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En procédant à la pesée des intérêts en présence, les prévisions sur l’issue du litige au fond peuvent être prises en considération. Il faut cependant qu’elles ne fassent aucun doute (ATF 124 V 88 consid. 6a, 117 V 191 consid. 2b et les références). En d'autres termes, les conditions à remplir pour l’octroi de mesures provisionnelles sont au nombre de trois (ATAS/36/2017 consid. 5c) : - l’existence de motifs objectivement fondés justifiant l’intervention, soit l’importance de l’intérêt vraisemblablement compromis par le maintien pur et simple de la situation, la gravité possible des effets de l’absence d’intervention provisoire, l’urgence qu’il y a à agir; une atteinte irréversible n'est toutefois pas exigée; - le pronostic relatif à l’issue de la cause doit être favorable dans le sens que le recours ne doit pas apparaître de prime abord comme dépourvu de chance de succès; - la mesure provisionnelle ne doit pas préjuger de la décision finale en créant par son propre effet une situation irréversible qui rende vaine l’issue du recours.</w:t>
      </w:r>
    </w:p>
    <w:p>
      <w:r>
        <w:rPr>
          <w:b/>
        </w:rPr>
        <w:t>E. 5</w:t>
      </w:r>
    </w:p>
    <w:p>
      <w:r>
        <w:t>En l’espèce, les défenderesses semblent contester la recevabilité de la requête en mesures provisionnelles au motif que le Tribunal de céans n'est pas saisi d'un recours contre une décision, en l'absence d'un acte modifiant les droits et obligations de la demanderesse. Aux dires des défenderesses, la lettre de Santésuisse du 11 mai 2017, informant la demanderesse que l'exclusion prononcée par le Tribunal de céans sera effective pour la période du 1er juin au 1er décembre 2017, ne peut pas être considérée comme une décision, mais constitue un acte en vue de l'exécution de l'arrêt du 2 septembre 2016, contre lequel la voie de recours n'est pas ouverte. Selon le règlement de traitement de SASIS SA concernant le registre des codes- créanciers (RCC; ci-après: règlement RCC; cf. www.sasis.ch), le RCC est le répertoire officiel des fournisseurs de prestations dans l'assurance-maladie selon la LAMal et la loi fédérale sur le contrat d'assurance du 2 avril 1908 (loi sur le contrat d’assurance, LCA - RS 221.229.1) et sert avant tout comme registre de créanciers et pour le trafic des paiements. Le RCC attribue un numéro RCC aux fournisseurs de prestations qui en font la demande, lequel doit être utilisé par les fournisseurs de prestations et les assureurs-maladie lors de la facturation, du contrôle des factures, des paiements et de la réalisation de statistiques. SASIS SA gère le RCC pour le compte des assureurs-maladie. A ce titre, cette société remplit notamment les fonctions d'attribution, à sa demande, d'un numéro d'identification au fournisseur de</w:t>
      </w:r>
    </w:p>
    <w:p>
      <w:r>
        <w:t>A/2540/2017 - 8/11 - prestations en vue de la facturation, et de vérification de l'existence d'une limitation à l'autorisation des fournisseurs de prestations de pratiquer à la charge de l'assurance-maladie obligatoire (art. 1.1. règlement RCC). Les assureurs-maladie, respectivement SASIS SA pour leur compte, sont ainsi compétents pour l'attribution du numéro RCC. A titre d'organismes d'exécution de la LAMal, ils prennent par conséquent des décisions à l'égard des fournisseurs de prestations concernant le droit d'exercer à la charge de l'assurance obligatoire des soins. Il ne fait en effet pas de doute que le fait de refuser un numéro RCC équivaut à un refus d'autorisation de facturer ses prestations aux assureurs LAMal. En l'occurrence, les défenderesses ont décidé de suspendre le numéro RCC de la demanderesse entre le 1er juin et le 1er décembre 2017. S'il est vrai que cette exclusion a été décidée par le Tribunal de céans et confirmée par notre Haute Cour, il n'en demeure pas que les dates précises de l'exclusion et les éventuelles imputations n'ont pas fait l'objet d'une décision judiciaire. Dans ce sens, l'injonction donnée à SASIS SA de suspendre de numéro RCC durant la période précitée ne constitue pas une simple décision d'exécution, mais une décision sur les modalités d'exécution qui sont précisément contestées et attaquables en justice comme toutes les décisions administratives. Par ailleurs, à l'évidence, la requête en mesures provisionnelles s'insère dans une demande au fond, tendant à déterminer pendant quelle période précise la suspension doit encore être ordonnée, question qui dépend de celle de savoir si la suspension provisoire dès le 24 octobre 2016 doit être imputée sur la durée de six mois. Partant, la requête est recevable.</w:t>
      </w:r>
    </w:p>
    <w:p>
      <w:r>
        <w:rPr>
          <w:b/>
        </w:rPr>
        <w:t>E. 6</w:t>
      </w:r>
    </w:p>
    <w:p>
      <w:r>
        <w:t>Les défenderesses semblent ensuite contester l'intérêt de la demanderesse à obtenir la remise en vigueur du numéro RCC avec effet au 1er juillet 2017, au motif que, même sans ce numéro, elle bénéficie d'une autorisation de pratiquer délivrée pour le canton de Genève et peut dès lors exercer sa profession. A suivre les défenderesses, la demanderesse ne subit aucun dommage du fait de ne pas pouvoir facturer ses prestations à la charge de la LAMal. Dans ces conditions, il serait difficilement compréhensible que le retrait du numéro RCC constitue précisément une sanction prévue par la LAMal à l'égard d'un fournisseur de prestations qui contrevient aux prescriptions de cette loi. A l'évidence, le retrait du numéro RCC équivaut à une interdiction de pratiquer et est conçu comme telle, dès lors qu'aucun patient n'accepterait de se faire soigner intégralement à ses frais, alors même que la LAMal donne en principe droit au remboursement de ceux-ci. Dans le cadre de son mandat, le fournisseur de prestations aurait évidemment l'obligation, selon les règles de la bonne foi, d'attirer l'attention du patient sur l'impossibilité de demander le remboursement des soins. Au demeurant, le Tribunal fédéral lui-même a assimilé le retrait du numéro RCC à une interdiction de pratiquer dans son ordonnance du 24 janvier 2017 rendue entre les mêmes parties (cf. consid. 4, al. 1 in fine).</w:t>
      </w:r>
    </w:p>
    <w:p>
      <w:r>
        <w:t>A/2540/2017 - 9/11 -</w:t>
      </w:r>
    </w:p>
    <w:p>
      <w:r>
        <w:rPr>
          <w:b/>
        </w:rPr>
        <w:t>E. 7</w:t>
      </w:r>
    </w:p>
    <w:p>
      <w:r>
        <w:t>Le recours ne paraît par ailleurs pas dépourvu de toute chance de succès. En effet, la demanderesse fait l’objet d’une sanction consistant dans l’exclusion de six mois de toute pratique médicale à la charge de l’assurance obligatoire des soins. Or, dans les faits, elle en a déjà été privée entre le 26 octobre 2016, date à laquelle il lui a été communiqué qu’elle avait une interdiction de pratiquer à la charge de l’assurance obligatoire des soins, et le 24 mars 2017, date à laquelle SASIS SA l’a informée que son numéro RCC a été réactivé. Même si le Tribunal fédéral a octroyé la restitution de l'effet suspensif par ordonnance du 24 janvier 2017, il n'en demeure pas moins que, subjectivement, la demanderesse a cru, à tort ou à raison, de ne pas pouvoir pratiquer à la charge de l'assurance obligatoire des soins, tant que SASIS SA ne lui avait pas formellement communiqué que son numéro de concordat RCC a été réactivé. Par ailleurs, même si ce numéro a été réactivé par la suite avec effet rétroactif à la date de sa suspension, la demanderesse a été néanmoins empêchée d'exercer sa profession durant la suspension provisoire. Il est à cet égard bien compréhensible qu'elle n'ait pas pris le risque de fournir des prestations médicales en dépit de la suspension de son numéro RCC, du moins jusqu'à l'ordonnance du Tribunal fédéral lui octroyant l'effet suspensif. En effet, elle ne pouvait avoir aucune certitude quant à l'obtention de l'effet suspensif.</w:t>
      </w:r>
    </w:p>
    <w:p>
      <w:r>
        <w:rPr>
          <w:b/>
        </w:rPr>
        <w:t>E. 8</w:t>
      </w:r>
    </w:p>
    <w:p>
      <w:r>
        <w:t>Il appert également qu'au cas où elle obtiendrait gain de cause sur le fond devant le Tribunal de céans, la demanderesse subirait un dommage considérable, si en sus de la période de suspension de fait de sa pratique médicale pendant cinq mois, elle devait encore subir une nouvelle exclusion de six mois pendant la durée de la procédure. La condition de l'urgence est également remplie, dès lors que le dommage se produira pendant la durée de la procédure, dès juillet 2017, en l'absence d'autorisation provisoire de pratiquer à la charge de la LAMal. Quant aux défenderesses, elles n'ont pas exposé en quoi la poursuite de l'activité de la demanderesse jusqu'au règlement définitif de la présente cause pourrait leur être préjudiciable. A priori, les défenderesses n'ont aucun intérêt à s’opposer à la mesure provisionnelle, dès lors qu’elles ne subiraient aucun inconvénient, même si la demanderesse devait être déboutée de sa demande. En effet, elles pourront toujours suspendre le droit de pratiquer à la charge de l’assurance obligatoire des soins par la suite. La pesée des intérêts penche par conséquent clairement en faveur de la demanderesse.</w:t>
      </w:r>
    </w:p>
    <w:p>
      <w:r>
        <w:rPr>
          <w:b/>
        </w:rPr>
        <w:t>E. 9</w:t>
      </w:r>
    </w:p>
    <w:p>
      <w:r>
        <w:t>Il convient également de constater que la mesure provisionnelle ne préjuge pas de la décision finale en créant une situation irréversible, dans la mesure où les défenderesses seront toujours en mesure de requérir auprès de SASIS SA le retrait du numéro RCC pendant une nouvelle durée de six mois, si la demanderesse devait être déboutée.</w:t>
      </w:r>
    </w:p>
    <w:p>
      <w:r>
        <w:t>A/2540/2017 - 10/11 -</w:t>
      </w:r>
    </w:p>
    <w:p>
      <w:r>
        <w:rPr>
          <w:b/>
        </w:rPr>
        <w:t>E. 10</w:t>
      </w:r>
    </w:p>
    <w:p>
      <w:r>
        <w:t>Cela étant, la requête de mesures provisionnelles sera admise. Toutefois, dès lors que la demanderesse a indiqué, dans son courrier du 12 mai 2017 à Santésuisse, avoir suspendu son activité dès le 26 octobre 2016, soit le lendemain de la réception du courrier du 24 octobre 2016 de Santésuisse, il appert qu'il manque à la durée de suspension de six mois encore un mois et deux jours, au cas où la cessation provisoire de l'activité médicale devrait être imputée sur la durée de six mois. Partant, la demanderesse ne subira cas échéant un dommage supplémentaire que dès le 3 juillet prochain. Il convient ainsi d'ordonner à Santésuisse de ne réactiver le numéro RCC F 010625 de la demanderesse qu'avec effet au 3 juillet 2017. En tout état de cause, les conséquences de ce report sont sans effet dans la pratique, dans la mesure où les 1er et 2 juillet tombent sur un week-end. Copie de cette décision sera communiquée également à SASIS SA.</w:t>
      </w:r>
    </w:p>
    <w:p>
      <w:r>
        <w:rPr>
          <w:b/>
        </w:rPr>
        <w:t>E. 11</w:t>
      </w:r>
    </w:p>
    <w:p>
      <w:r>
        <w:t>La procédure par-devant le Tribunal arbitral n'est pas gratuite (cf. art. 46 de la loi cantonale d'application de la LAMal du 29 mai 1997- LaLAMal). Les frais du Tribunal, par CHF 850.- et un émolument de CHF 200.-, seront mis à charge des défenderesses qui succombent. En outre, elles seront condamnées à verser à la demanderesse une indemnité à titre de participation à leurs frais et dépens, fixée en l'occurrence à CHF 500.-.</w:t>
      </w:r>
    </w:p>
    <w:p>
      <w:r>
        <w:t>A/2540/2017 - 11/11 -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