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ATAS/573/2015 vom 27. Juli 2015</w:t>
      </w:r>
    </w:p>
    <w:p>
      <w:r>
        <w:t>GE Cour de justice, 2015-07-27, FR</w:t>
      </w:r>
    </w:p>
    <w:p>
      <w:r>
        <w:rPr>
          <w:b/>
        </w:rPr>
        <w:t xml:space="preserve">Quelle: </w:t>
      </w:r>
      <w:r>
        <w:t>https://mcp.opencaselaw.ch/entscheid/ge_gerichte_ATAS_573_2015</w:t>
      </w:r>
    </w:p>
    <w:p>
      <w:r>
        <w:t>FR: GE_GERICHTE ATAS/573/2015 du 27 juillet 2015</w:t>
      </w:r>
    </w:p>
    <w:p>
      <w:r>
        <w:t>IT: GE_GERICHTE ATAS/573/2015 del 27 luglio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présent recours est recevable (art. 60 LPGA).</w:t>
      </w:r>
    </w:p>
    <w:p>
      <w:r>
        <w:rPr>
          <w:b/>
        </w:rPr>
        <w:t>E. 3</w:t>
      </w:r>
    </w:p>
    <w:p>
      <w:r>
        <w:t>Le litige porte sur le point de savoir si c’est à bon droit que l’intimé a prononcé une suspension du droit à l’indemnité de chômage, au motif que les recherches de l'intéressé pendant le délai de congé de deux mois étaient insuffisantes.</w:t>
      </w:r>
    </w:p>
    <w:p>
      <w:r>
        <w:rPr>
          <w:b/>
        </w:rPr>
        <w:t>E. 4</w:t>
      </w:r>
    </w:p>
    <w:p>
      <w:r>
        <w:t>a) Selon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 par le Conseil fédéral (al. 2).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c) L’obligation de réduire le dommage consacrée par l’art. 17 al. 1er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w:t>
      </w:r>
    </w:p>
    <w:p>
      <w:r>
        <w:t>A/1388/2015 - 5/9 -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8C_316/07 du 6 avril 2008, consid. 2.1.2). d)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 Schweizerisches Bundesverwaltungsrecht [SBVR], Soziale Sicherheit, 2ème éd., n. 837 et 838 p. 2429 et 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ATFA non publiés C 144/05 du 1er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w:t>
      </w:r>
    </w:p>
    <w:p>
      <w:r>
        <w:t>A/1388/2015 - 6/9 -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2013, B320). e)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au vu des principes rappelés ci-dessus, on ne saurait suivre le recourant lorsqu'il prétend que le principe même de la sanction qui lui a été infligée ne se justifie pas, dans la mesure où il aurait privilégié la qualité de ses recherches, plutôt que la quantité. En effet, les recherches d'emploi dont la preuve doit être rapportée doivent cumulativement, et non pas alternativement, être suffisantes en nombre et en qualité. Il tombe en effet sous le sens que l'aboutissement d'une offre de services ne dépend pas uniquement de la qualité du dossier, mais encore de la décision de l'employeur potentiel, condition que le postulant ne maîtrise pas. Celui qui recherche un emploi ne peut donc pas d'emblée restreindre ses recherches, en limitant celles-ci à celles (peu nombreuses) qui selon lui seraient qualitativement les meilleures. Il en irait de même si l'assuré se contentait de recherche en nombre, sans se soucier de la qualité. On ne saurait davantage le suivre lorsqu'il allègue que ce n'est que le 12 février 2015, lors du premier entretien qu'il a eu avec un conseiller en placement, qu'il aurait su ce qu'attendait de lui l'admiration du chômage en termes de recherches quantitatives d'emploi. Conformément à l'art. 17 al.2 LACI, s'il s'était présenté</w:t>
      </w:r>
    </w:p>
    <w:p>
      <w:r>
        <w:t>A/1388/2015 - 8/9 - aussitôt que possible à l'autorité compétente, il aurait ainsi pu obtenir tous les renseignements nécessaires sur ce qui ne lui paraissait pas clair. Ceci dit, son niveau de formation et ses compétences générales lui permettaient d'emblée de réaliser le caractère insuffisant de ses recherches, dont la finalité va jusqu'à éviter d'émarger au chômage (art. 17 al. 1 LACI). Il devait ainsi se placer dans la position de celui qui n'aurait pas droit aux prestations de l'assurance-chômage. Dans ce cas, il est vraisemblable au degré de la vraisemblance prépondérante qu'il aurait intensifié ses recherches pendant la période concernée, en se donnant toutes les chances de retrouver rapidement un emploi. Ainsi toutes les conditions étaient réunies et justifiées pour que le comportement incriminé de l'intéressé pendant le délai de congé soit sanctionné.</w:t>
      </w:r>
    </w:p>
    <w:p>
      <w:r>
        <w:rPr>
          <w:b/>
        </w:rPr>
        <w:t>E. 8</w:t>
      </w:r>
    </w:p>
    <w:p>
      <w:r>
        <w:t>En l'occurrence et bien que la quotité de la sanction en tant que telle ne soit pas discutée, la Cour considère que la suspension d'une durée de six jours à compter du 1er février 2015, pour recherches d'emploi insuffisantes durant le délai de congé de deux mois (en décembre 2014 et janvier 2015), est adéquate et respecte le principe de la proportionnalité, d'autant que la sanction infligée se situe à la limite inférieure du barème du SECO pour ce type de faute.</w:t>
      </w:r>
    </w:p>
    <w:p>
      <w:r>
        <w:rPr>
          <w:b/>
        </w:rPr>
        <w:t>E. 9</w:t>
      </w:r>
    </w:p>
    <w:p>
      <w:r>
        <w:t>Le recours est donc rejeté. Pour le surplus, la procédure est gratuite (art. 61 let. a LPGA et 89H LPA)</w:t>
      </w:r>
    </w:p>
    <w:p>
      <w:r>
        <w:t>A/1388/2015 - 9/9 -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