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ATAS/573/2009 vom 10. September 2008</w:t>
      </w:r>
    </w:p>
    <w:p>
      <w:r>
        <w:t>GE Cour de justice, 2008-09-10, FR</w:t>
      </w:r>
    </w:p>
    <w:p>
      <w:r>
        <w:rPr>
          <w:b/>
        </w:rPr>
        <w:t xml:space="preserve">Quelle: </w:t>
      </w:r>
      <w:r>
        <w:t>https://mcp.opencaselaw.ch/entscheid/ge_gerichte_ATAS_573_2009</w:t>
      </w:r>
    </w:p>
    <w:p>
      <w:r>
        <w:t>FR: GE_GERICHTE ATAS/573/2009 du 10 septembre 2008</w:t>
      </w:r>
    </w:p>
    <w:p>
      <w:r>
        <w:t>IT: GE_GERICHTE ATAS/573/2009 del 10 settembre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w:t>
      </w:r>
    </w:p>
    <w:p>
      <w:r>
        <w:t>A/331/2009 4/6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24 avril 1992, date du mariage, d’autre part le 23 octobre 2008, date à laquelle le jugement de divorce est devenu exécutoire quant à son principe. Cependant, la demanderesse étant bénéficiaire de prestations de sa caisse de pension depuis le 17 décembre 2007, soit antérieurement au divorce, la question se pose de savoir si le partage ordonné peut être exécuté.</w:t>
      </w:r>
    </w:p>
    <w:p>
      <w:r>
        <w:rPr>
          <w:b/>
        </w:rPr>
        <w:t>E. 4</w:t>
      </w:r>
    </w:p>
    <w:p>
      <w:r>
        <w:t>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 ou tout au moins des points permettant son exécution. Si un cas de prévoyance survient avant cette date, l'application de l'art. 122 CC est exclue au profit de l'art. 124 CC. Inversement, si un cas de prévoyance survient après cette date, la question demeure régie par le seul art. 122 CC (cf. GEISER, op. cit., p. 307-308). Pour le même motif, la survenance d'un cas de prévoyance alors que la procédure est pendante</w:t>
      </w:r>
    </w:p>
    <w:p>
      <w:r>
        <w:t>A/331/2009 5/6 auprès du juge des assurances, reste sans influence sur l'application de l'art. 122 CC, qui continue à s'appliquer. L'application de l'art. 122 al. 1 CC présuppose donc que l'époux dispose d'un droit à une prestation de sortie à l'encontre de son institution de prévoyance (cf. ATF 128 V 41 consid. 3b p. 48; 127 III 433 consid. 2b p. 437 et les références). Savoir si un époux dispose d’un tel droit est une question relative au rapport de prévoyance et qui relève de la compétence matérielle du juge des assurances sociales; toutefois, le juge du divorce, qui doit régler le sort de la prévoyance professionnelle des époux, doit examiner la question à titre préjudiciel (ATF 128 V 41 consid. 1, 2c in fine, 3b et les références.). Selon le TFA, est seule décisive la naissance d’un droit concret à des prestations de la prévoyance professionnelle, qui rend impossible le partage des avoirs de prévoyance à la base des prestations servies. En effet, aux termes de l'art. 2 al. 1 LFLP,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de sorte que le partage n’est techniquement plus possible. En ce cas, seule une indemnité équitable peut alors être fixée par le juge civil (ATF 129 V 444 consid. 5.1; Thomas GEISER, Le nouveau droit du divorce et les droits en matière de prévoyance professionnelle, in De l’ancien au nouveau droit du divorce, 1999, p. 79). Cette solution est retenue par la doctrine quasi unanime (GEISER, Vorsorgeausgleich : Aufteilung bei Vorbezug für Wohneigentumserwerb und nach Eintreten eines Vorsorgefalls, FamPra 2002 p. 86 et Berufliche Vorsorge im neuen Scheidungsrecht, in : Vom alten zum neuen Scheidungsrecht, n. 2.97; BAUMANN/LAUTERBURG, Praxiskommentar, Scheidungsrecht 2000, n. 18 et 20 ad art. 122 CC; WALSER, Commentaire bâlois, n. 4 ad art. 124 CC; TRIGO TRINDAD, Prévoyance professsionnelle, divorce et succession, SJ 2000 II p. 493; KIESER, Eheschidung und Eintritt deds Vorsorgefalles der beruflichen Vorsorge – Hinweise für die Praxis, PJA 2001 p. 155, 156; GRUTTER/SUMMERMATTER, Erstinstanzliche Erfahrungen mit dem Vorsorgeausgleich bei Scheidung, insbesondere nach art. 124 ZGB, FamPra 2002 p. 641, 647; SUTTER/ FREIBURGHAUS, Kommentar zum neuen Schdidungsrecht, n. 3 ad art. 124 CC).</w:t>
      </w:r>
    </w:p>
    <w:p>
      <w:r>
        <w:rPr>
          <w:b/>
        </w:rPr>
        <w:t>E. 5</w:t>
      </w:r>
    </w:p>
    <w:p>
      <w:r>
        <w:t>En l’espèce, l’instruction a mis en évidence que la demanderesse bénéficie d’une rente entière d’invalidité de la part de sa caisse de pension, de sorte qu’il n’existe plus de droit à une prestation de sortie dans le cadre du divorce. Le versement d’une rente, antérieurement à l'entrée en force du jugement de divorce, rend impossible le partage des avoirs de prévoyance (cf. ATAS 515/2007 du 15 mai 2007). Les parties seront, par conséquent, invitées à saisir le juge du divorce d'une demande d'indemnité équitable.</w:t>
      </w:r>
    </w:p>
    <w:p>
      <w:r>
        <w:t>A/331/2009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