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ATAS/572/2013 vom 5. Juni 2013</w:t>
      </w:r>
    </w:p>
    <w:p>
      <w:r>
        <w:t>GE Cour de justice, 2013-06-05, FR</w:t>
      </w:r>
    </w:p>
    <w:p>
      <w:r>
        <w:rPr>
          <w:b/>
        </w:rPr>
        <w:t xml:space="preserve">Quelle: </w:t>
      </w:r>
      <w:r>
        <w:t>https://mcp.opencaselaw.ch/entscheid/ge_gerichte_ATAS_572_2013</w:t>
      </w:r>
    </w:p>
    <w:p>
      <w:r>
        <w:t>FR: GE_GERICHTE ATAS/572/2013 du 5 juin 2013</w:t>
      </w:r>
    </w:p>
    <w:p>
      <w:r>
        <w:t>IT: GE_GERICHTE ATAS/572/2013 del 5 giugno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Conformément à l’art. 19 al. 3 du règlement d’exécution de la loi relative à l’office cantonal des assurances sociales du 23 mars 2005 (ROCAS; J 4 18.01), le refus de l’assistance juridique peut être attaqué par la voie du recours auprès de la chambre des assurances sociales de la Cour de justice. La compétence de la Cour de céans pour juger du cas d’espèce est ainsi établie.</w:t>
      </w:r>
    </w:p>
    <w:p>
      <w:r>
        <w:rPr>
          <w:b/>
        </w:rPr>
        <w:t>E. 2</w:t>
      </w:r>
    </w:p>
    <w:p>
      <w:r>
        <w:t>A teneur de l'art. 1 al. 1 LAI, les dispositions de la LPGA s'appliquent à l'assurance- invalidité, à moins que la loi n'y déroge expressément.</w:t>
      </w:r>
    </w:p>
    <w:p>
      <w:r>
        <w:t>A/607/2013 - 6/10 -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Par conséquent, le recours du 18 février 2013 a été formé en temps utile (art. 39 al. 1 et 60 al. 2 LPGA) contre la décision reçue le 21 janvier 2013. Interjeté dans la forme et le délai prévus par la loi, le recours est recevable (art. 56 ss LPGA).</w:t>
      </w:r>
    </w:p>
    <w:p>
      <w:r>
        <w:rPr>
          <w:b/>
        </w:rPr>
        <w:t>E. 4</w:t>
      </w:r>
    </w:p>
    <w:p>
      <w:r>
        <w:t>Est litigieux le droit du recourant à l'assistance juridique requise à la fin de l'instruction complémentaire après renvoi par la Cour de céans et avant la communication d'un nouveau projet de décision.</w:t>
      </w:r>
    </w:p>
    <w:p>
      <w:r>
        <w:rPr>
          <w:b/>
        </w:rPr>
        <w:t>E. 5</w:t>
      </w:r>
    </w:p>
    <w:p>
      <w:r>
        <w:t>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Dans la procédure administrative en matière d'assurances sociales, l'assistance gratuite d'un conseil juridique est accordée au demandeur lorsque les circonstances le justifient (art. 37 al. 4 LPGA). La LPGA a ainsi introduit une prétention légale à l'assistance juridique pour ce type de procédure (ATF 131 V 153 consid. 3.1). Selon la jurisprudence, les conditions d'octroi de l'assistance judiciaire gratuite sont en principe remplies si les conclusions ne paraissent pas vouées à l'échec, si le requérant est dans le besoin et si l'assistance d'un avocat est nécessaire ou du moins indiquée (ATF 125 V 201 consid. 4a et 372 consid. 5b ainsi que les références). La réglementation cantonale a une teneur identique à la législation fédérale. Elle prévoit que l’assistance gratuite d’un conseil juridique est accordée au demandeur pour la procédure devant la caisse ou l’office lorsque les circonstances l’exigent (art. 27D al 1 LOCAS). L'assistance juridique est octroyée conformément aux prescriptions fédérales en matière de contentieux dans l’assurance-vieillesse et survivants, l'assurance-invalidité, les allocations perte de gain et les prestations complémentaires (art. 19 al. 1 ROCAS). Elle ne peut être accordée que si la démarche ne paraît pas vouée à l’échec, si la complexité de l’affaire l’exige et si l’intéressé est dans le besoin; ces conditions sont cumulatives (art. 19 al. 2 ROCAS).</w:t>
      </w:r>
    </w:p>
    <w:p>
      <w:r>
        <w:rPr>
          <w:b/>
        </w:rPr>
        <w:t>E. 6</w:t>
      </w:r>
    </w:p>
    <w:p>
      <w:r>
        <w:t>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w:t>
      </w:r>
    </w:p>
    <w:p>
      <w:r>
        <w:t>A/607/2013 - 7/10 - succès et les risques d'échec s'équilibrent à peu près ou que les perspectives de succès ne sont que légèrement inférieures (ATF 129 I 129 consid. 2.3.1 ; ATF 128 I 225 consid. 2.5.3 et la référence). La situation s'apprécie sur la base d'un examen provisoire et sommaire et, en cas de doute, l'assistance judiciaire doit être octroyée, la décision étant laissée au juge du fond (ATF 88 I 144; ATF non publié 5P.362/2000 du 8 décembre 2000, consid. 2a).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w:t>
      </w:r>
    </w:p>
    <w:p>
      <w:r>
        <w:rPr>
          <w:b/>
        </w:rPr>
        <w:t>E. 7</w:t>
      </w:r>
    </w:p>
    <w:p>
      <w:r>
        <w:t>janvier 2008, consid. 5.2.1; REAS 2004 p. 317). La nécessité de l’assistance gratuite ne peut donc être admise d’emblée, mais n’existe que lorsqu’à la relative difficulté du cas s’ajoute la complexité de l’état de fait ou des questions de droit, à laquelle le requérant n’est pas apte à faire face seul (cf. ATF 130 I 182 consid. 2.2 et les références; ATF non publié 9C_105/2007 du 13 novembre 2007, consid. 3.1 et les références).</w:t>
      </w:r>
    </w:p>
    <w:p>
      <w:r>
        <w:rPr>
          <w:b/>
        </w:rPr>
        <w:t>E. 8</w:t>
      </w:r>
    </w:p>
    <w:p>
      <w:r>
        <w:t>En l'espèce, le recourant demande l'assistance juridique au stade de la fin de l'instruction complémentaire après l'annulation par la Cour de céans d'une décision de refus de prestations et avant la communication d'un nouveau projet de décision. Au vu de la jurisprudence susmentionnée, la nature du litige ne permet pas d’admettre que la situation juridique du recourant est susceptible d’être touchée gravement de sorte que l’assistance juridique n’apparaît pas d’emblée comme nécessaire. Dès lors, il convient d'examiner si, concrètement, la détermination après expertise ophtalmologique sur renvoi de la cause à l'administration pour complément d'instruction présente, d'un point de vue objectif, des difficultés telles que le recours à un avocat se justifie. Le courrier du mandataire du 19 décembre 2012 ne comporte aucun développement juridique. Il se borne à rappeler le but de l’expertise ophtalmologique et ses conclusions pour en déduire que le recourant a droit à une rente entière d’invalidité dès le 1er janvier 2007. Or, jusqu’à la procédure de recours, le recourant était aidé par son assistant social Monsieur U__________ et il l’a encore été par la suite, lors de l’enquête ménagère du 15 avril 2013 ayant pour but d’investiguer le statut d’actif ou de non actif du recourant, enquête qui a retenu un statut d’actif. Au vu des conclusions de l’expertise ophtalmologique confirmant une incapacité de travail entière dans toute activité depuis environ 2006 et de la teneur du courrier du</w:t>
      </w:r>
    </w:p>
    <w:p>
      <w:r>
        <w:t>A/607/2013 - 9/10 - 19 décembre 2012 se limitant à rappeler les conclusions de l’expertise, ledit courrier aurait très bien pu être rédigé par l’assistant social. Par conséquent, on ne se trouve pas dans un cas exceptionnel imposant l’assistance d’un avocat. Par surabondance de moyens au vu de la date de la demande d’octroi de l’assistance juridique et contrairement à ce que soutient le recourant, l’assistance de son mandataire durant le complément d’instruction sous forme d’expertise ophtalmolo- gique ne s’imposait pas davantage. En effet, il n’est pas intervenu dans le choix de l’expert, ni dans les questions posées à ce dernier, mais il s’est borné à envoyer des relances à l’intimé pour protester contre la lenteur de convocation à l’examen de l’expert. Or, cette lenteur était due au recourant lui-même qui n’a pas donné suite à la convocation de l’expert. Par ailleurs, il s’est écoulé une semaine entre le moment où le mandataire a demandé la communication du rapport d’expertise et celui où l’intimé l’a reçu, soit une durée qui ne nécessitait pas une demande expresse de transmission. Par conséquent, il ne fait aucun doute que l’assistant social du recourant aurait pu envoyer lesdites relances et faire la même demande d’envoi du rapport d’expertise avec le même succès. Etant donné qu’au moins une des conditions cumulatives requises pour l’octroi de l’assistance juridique n’est pas réalisée, son refus doit être confirmé.</w:t>
      </w:r>
    </w:p>
    <w:p>
      <w:r>
        <w:rPr>
          <w:b/>
        </w:rPr>
        <w:t>E. 9</w:t>
      </w:r>
    </w:p>
    <w:p>
      <w:r>
        <w:t>Au vu de ce qui précède, le recours sera rejeté. Le litige ne portant pas sur l’octroi ou le refus de prestations de l’AI, il ne sera pas perçu d’émolument (art. 69 al. 1bis LAI a contrario). Pour le surplus, la procédure est gratuite (art. 61 let. a LPGA).</w:t>
      </w:r>
    </w:p>
    <w:p>
      <w:r>
        <w:t>A/607/2013 - 10/10 -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