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ATAS/572/2011 vom 31. Mai 2011</w:t>
      </w:r>
    </w:p>
    <w:p>
      <w:r>
        <w:t>GE Cour de justice, 2011-05-31, FR</w:t>
      </w:r>
    </w:p>
    <w:p>
      <w:r>
        <w:rPr>
          <w:b/>
        </w:rPr>
        <w:t xml:space="preserve">Quelle: </w:t>
      </w:r>
      <w:r>
        <w:t>https://mcp.opencaselaw.ch/entscheid/ge_gerichte_ATAS_572_2011</w:t>
      </w:r>
    </w:p>
    <w:p>
      <w:r>
        <w:t>FR: GE_GERICHTE ATAS/572/2011 du 31 mai 2011</w:t>
      </w:r>
    </w:p>
    <w:p>
      <w:r>
        <w:t>IT: GE_GERICHTE ATAS/572/2011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Est litigieuse en l’espèce la question de savoir si l'état de santé de la recourante lui ouvre droit à des prestations de l'assurance-invalidité.</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4</w:t>
      </w:r>
    </w:p>
    <w:p>
      <w:r>
        <w:t>Il y a lieu de préciser que selon la jurisprudence, la notion d'invalidité, au sens du droit des assurances sociales, est une notion économique et non médicale; ce sont</w:t>
      </w:r>
    </w:p>
    <w:p>
      <w:r>
        <w:t>A/3480/2008 - 6/10 -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5</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A/3480/2008 - 7/10 - raisonnablement, exiger de l'assuré (ATF 125 V 261 consid. 4, 115 V 134 consid. 2, 114 V 314 consid. 3c, 105 V 158 consid. 1 in fine).</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les atteintes à la santé ont été objectivées et ne sont pas contestées, raison pour laquelle la mise sur pied d'une expertise médicale ne se justifie aucunement. Seule demeure litigieuse la question de l'influence de ces atteintes sur la capacité de travail de l'assurée. Le Dr A__________, médecin traitant, a évalué la capacité de travail de l'assurée à 50% dans une activité adaptée. Il est vrai qu'il n'est cependant pas spécialiste, ainsi que l'a relevé notre Haute Cour. L'unité d'oncologie des HUG a conclut quant à elle à une pleine capacité de travail dans une activité adaptée. Le Dr B__________ a évoqué des problèmes d'ordre psychique, tout en soulignant qu'ils n'étaient plus invalidants et qu'ils ne l'avaient été que durant un laps de temps limité, en 2010, soit postérieurement à la décision litigieuse, en d'autres termes, durant une période sortant du cadre du litige.</w:t>
      </w:r>
    </w:p>
    <w:p>
      <w:r>
        <w:t>A/3480/2008 - 8/10 - Le Dr B__________ a conclu à une capacité de travail de 50% dans une activité adaptée, ceci afin de tenir compte des douleurs et de la fatigabilité de l'assurée. Le Dr C__________ n'a relevé qu'une affection anodine du foie sans conséquence sur la capacité de travail. Le témoin a mentionné une possible influence sur l'état dépressif de la patiente, dont le Dr B__________ avait cependant déjà indiqué qu'il n'était pas invalidant sous traitement. En conséquence, force est de constater que la seule voix médicale spécialisée concluant à une capacité de travail réduite est celle du Dr B__________. Or, ce dernier ne justifie cette réduction de la capacité de travail de sa patiente que par les douleurs dont se plaint la patiente et sa fatigabilité, dont on peut s'attendre à ce qu'elles soient jugulées par l'adoption d'une activité adaptée à son état de santé c'est-à-dire permettant d'éviter certains mouvements des membres supérieurs et le port de charges. Force est de constater à la lecture des différents rapports versés au dossier que les atteintes objectives s'avèrent minimes (affection du foie "anodine", état dépressif en rémission, affections dégénératives mineures) et ne justifient dès lors pas la réduction de capacité de travail alléguée par le Dr B__________ et au demeurant non confirmée par les HUG. En conséquence de quoi, la recourante doit être considérée comme apte à exercer à 80% (taux d'occupation précédemment choisi) une activité adaptée à son état de santé.</w:t>
      </w:r>
    </w:p>
    <w:p>
      <w:r>
        <w:rPr>
          <w:b/>
        </w:rPr>
        <w:t>E. 8</w:t>
      </w:r>
    </w:p>
    <w:p>
      <w:r>
        <w:t>Il convient à présent de calculer le degré d'invalidité qui peut lui être reconnu, l'intimé ayant reconnu qu'un changement de profession s'impose.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w:t>
      </w:r>
    </w:p>
    <w:p>
      <w:r>
        <w:t>A/3480/2008 - 9/10 -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il ressort du rassemblement des comptes individuels de la recourante qu'elle a réalisé en dernier lieu un salaire mensuel de 1'105 fr. (3'315 de mai à juillet 2006 pour HOTELPRO SERVICES SA). Or, selon les statistiques, elle aurait pu réaliser la même année dans une activité simple et répétitive ne nécessitant aucune formation un revenu de 3'215 fr. (Enquête sur la structure des salaires de l'Office fédéral de la statistique 2006, TA1, niveau 4, à 80%), de sorte qu'aucune perte de gain ne peut être constatée.</w:t>
      </w:r>
    </w:p>
    <w:p>
      <w:r>
        <w:rPr>
          <w:b/>
        </w:rPr>
        <w:t>E. 9</w:t>
      </w:r>
    </w:p>
    <w:p>
      <w:r>
        <w:t>Eu égard aux considérations qui précèdent, force est de constater que l'assurée ne peut se voir reconnaitre de droit aux prestations de l'assurance-invalidité. Son recours est donc rejeté.</w:t>
      </w:r>
    </w:p>
    <w:p>
      <w:r>
        <w:t>A/3480/2008 - 10/10 -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