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ATAS/572/2009 vom 24. April 2008</w:t>
      </w:r>
    </w:p>
    <w:p>
      <w:r>
        <w:t>GE Cour de justice, 2008-04-24, FR</w:t>
      </w:r>
    </w:p>
    <w:p>
      <w:r>
        <w:rPr>
          <w:b/>
        </w:rPr>
        <w:t xml:space="preserve">Quelle: </w:t>
      </w:r>
      <w:r>
        <w:t>https://mcp.opencaselaw.ch/entscheid/ge_gerichte_ATAS_572_2009</w:t>
      </w:r>
    </w:p>
    <w:p>
      <w:r>
        <w:t>FR: GE_GERICHTE ATAS/572/2009 du 24 avril 2008</w:t>
      </w:r>
    </w:p>
    <w:p>
      <w:r>
        <w:t>IT: GE_GERICHTE ATAS/572/2009 del 24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A/261/2009 4/7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24 juin 1998, date du mariage, d’autre part le 17 juin 2008, date à laquelle le jugement de divorce est devenu exécutoire. C’est en effet cette dernière date qu’il convient de retenir et non celle de la séparation des époux, comme le réclame le demandeur.</w:t>
      </w:r>
    </w:p>
    <w:p>
      <w:r>
        <w:rPr>
          <w:b/>
        </w:rPr>
        <w:t>E. 4</w:t>
      </w:r>
    </w:p>
    <w:p>
      <w:r>
        <w:t>Cependant, le demandeur ayant déposé antérieurement au divorce une demande de prestations auprès de l’assurance-invalidité, la question se pose de savoir si le partage ordonné peut être exécuté.</w:t>
      </w:r>
    </w:p>
    <w:p>
      <w:r>
        <w:rPr>
          <w:b/>
        </w:rPr>
        <w:t>E. 5</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w:t>
      </w:r>
    </w:p>
    <w:p>
      <w:r>
        <w:t>A/261/2009 5/7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 dere nach art. 124 ZGB, FamPra 2002 p. 641, 647; SUTTER/ FREIBURGHAUS, Kommentar zum neuen Schdidungsrecht, n. 3 ad art. 124 CC.).</w:t>
      </w:r>
    </w:p>
    <w:p>
      <w:r>
        <w:rPr>
          <w:b/>
        </w:rPr>
        <w:t>E. 6</w:t>
      </w:r>
    </w:p>
    <w:p>
      <w:r>
        <w:t>En l’espèce, le demandeur a certes déposé une demande de prestations auprès de l’assurance-invalidité mais il ne bénéficie pas d’une rente d’invalidité de la prévoyance professionnelle, de sorte que le partage des avoirs de prévoyance tel que l’a décidé le juge civil reste techniquement possible.</w:t>
      </w:r>
    </w:p>
    <w:p>
      <w:r>
        <w:t>A/261/2009 6/7</w:t>
      </w:r>
    </w:p>
    <w:p>
      <w:r>
        <w:rPr>
          <w:b/>
        </w:rPr>
        <w:t>E. 7</w:t>
      </w:r>
    </w:p>
    <w:p>
      <w:r>
        <w:t>Selon les documents produits, la prestation acquise pendant le mariage par le demandeur s'élève à 53'311 fr. 25 (60'670.20 - 6'053.75 - 1'305.20) tandis que celle acquise par la demanderesse atteint la somme de 22'451 fr. 90 (49'630.90 - 27'179), les intérêts ayant déjà été calculés par les institutions de prévoyance défenderesses. S’agissant de la demanderesse, c’est en effet le montant total de l’avoir transféré par les RENTES GENEVOISES (soit 24'735 fr.), majoré des intérêts courus du 31 août 2004 (date du transfert) au 17 juin 2008 (date de l’entrée en force du divorce, ce qui amène au montant de 27'179 fr.) qu’il convient de déduire du montant à partager car l’avoir accumulé auprès des RENTES GENEVOISES consiste en cotisations prélevées avant le mariage (augmentées des intérêts). Ainsi le demandeur doit à son ex-épouse le montant de 26'665 fr. 55 (53'311.25 : 2) alors que la demanderesse lui doit celui de 11'225 fr. 95 (22'451.90 : 2), de sorte que c’est en définitive le demandeur qui doit à son ex-épouse le montant de 15'429 fr. 70 (26'665.55 - 11'225.95).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9</w:t>
      </w:r>
    </w:p>
    <w:p>
      <w:r>
        <w:t>Aucun émolument ne sera perçu, la procédure étant gratuite (art. 73 al. 2 LPP et 89H al. 1 de la loi sur la procédure administrative du 12 septembre 1985).</w:t>
      </w:r>
    </w:p>
    <w:p>
      <w:r>
        <w:t>A/261/2009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