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ATAS/571/2024 vom 15. Juli 2024</w:t>
      </w:r>
    </w:p>
    <w:p>
      <w:r>
        <w:t>GE Cour de justice, 2024-07-15, FR</w:t>
      </w:r>
    </w:p>
    <w:p>
      <w:r>
        <w:rPr>
          <w:b/>
        </w:rPr>
        <w:t xml:space="preserve">Quelle: </w:t>
      </w:r>
      <w:r>
        <w:t>https://mcp.opencaselaw.ch/entscheid/ge_gerichte_ATAS_571_2024</w:t>
      </w:r>
    </w:p>
    <w:p>
      <w:r>
        <w:t>FR: GE_GERICHTE ATAS/571/2024 du 15 juillet 2024</w:t>
      </w:r>
    </w:p>
    <w:p>
      <w:r>
        <w:t>IT: GE_GERICHTE ATAS/571/2024 del 15 luglio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 vertu de l’art. 134 al. 3 let. b LOJ, la chambre des assurances sociales connaît en outre des contestations prévues à l’art. 49 al. 3 de la loi en matière de chômage du 11 novembre 1983 en matière de prestations cantonales complémentaires (LMC - J 2 20). Sa compétence pour juger du cas d’espèce est ainsi établie.</w:t>
      </w:r>
    </w:p>
    <w:p>
      <w:r>
        <w:rPr>
          <w:b/>
        </w:rPr>
        <w:t>E. 1.2</w:t>
      </w:r>
    </w:p>
    <w:p>
      <w:r>
        <w:t>Interjeté dans les forme et délai prévus par la loi, le présent recours est recevable (art. 49 al. 3 LMC, art. 89B de la loi sur la procédure administrative, du 12 septembre 1985 - LPA ; RS E 5 10).</w:t>
      </w:r>
    </w:p>
    <w:p>
      <w:r>
        <w:rPr>
          <w:b/>
        </w:rPr>
        <w:t>E. 2</w:t>
      </w:r>
    </w:p>
    <w:p>
      <w:r>
        <w:t>Le litige porte sur le bien-fondé de la décision de restitution d'un montant de CHF 6'948.20, réclamée au recourant.</w:t>
      </w:r>
    </w:p>
    <w:p>
      <w:r>
        <w:t>A/1241/2024 - 4/7 -</w:t>
      </w:r>
    </w:p>
    <w:p>
      <w:r>
        <w:rPr>
          <w:b/>
        </w:rPr>
        <w:t>E. 2.2</w:t>
      </w:r>
    </w:p>
    <w:p>
      <w:r>
        <w:t>; 8C_719/2008 du 1er avril 2009 consid. 4.1).</w:t>
      </w:r>
    </w:p>
    <w:p>
      <w:r>
        <w:rPr>
          <w:b/>
        </w:rPr>
        <w:t>E. 3.1</w:t>
      </w:r>
    </w:p>
    <w:p>
      <w:r>
        <w:t>L'art. 7 let. a LMC prévoit à titre de prestations complémentaires cantonales de chômage les prestations en cas d’incapacité passagère de travail, totale ou partielle. Selon l'art. 11 al. 1 LMC, les prestations sont égales aux indemnités de chômage perçues immédiatement avant l'incapacité de travail; la réalisation d'un gain intermédiaire est réservée.</w:t>
      </w:r>
    </w:p>
    <w:p>
      <w:r>
        <w:rPr>
          <w:b/>
        </w:rPr>
        <w:t>E. 3.2</w:t>
      </w:r>
    </w:p>
    <w:p>
      <w:r>
        <w:t>En vertu de l'art. 19 LMC et de l'art. 25 LPGA, applicable par analogie, l'autorité compétente peut exiger la restitution de prestations indûment versées. Aux termes de l'art. 25 al. 1 1ère phrase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Cela vaut aussi pour les prestations qui ont été accordées sans avoir fait l'objet d'une décision formelle (décision implicite prise dans le cadre d'une procédure simplifiée au sens de l'art. 51 al. 1 LPGA ; ATF 132 V 412 consid. 5). Le droit de demander la restitution s'éteint un an après le moment où l'institution d'assurance a eu connaissance du fait, mais au plus tard cinq ans après le versement de la prestation (art. 25 al. 2 1ère phrase LPGA). Il s'agit de délais (relatif et absolu) de péremption, qui doivent être examinés d'office (ATF 133 V 579 consid. 4.1 ; 119 V 431 consid. 3a). Le délai relatif est de trois ans selon l'art. 25 al. 2 LPGA dans sa teneur en vigueur depuis le 1er janvier 2021. Le délai de péremption est sauvegardé une fois pour toutes lorsque l'autorité a accompli l'acte conservatoire que prescrit la loi. Est déterminant pour la sauvegarde du délai de péremption, le moment où la caisse a rendu sa décision de restitution (arrêt du Tribunal fédéral 8C_213/2016 du 4 novembre 2016 consid. 4.2 et les références).</w:t>
      </w:r>
    </w:p>
    <w:p>
      <w:r>
        <w:t>A/1241/2024 - 5/7 -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arrêts du Tribunal fédéral 8C_968/2012 du 18 novembre 2013 consid.</w:t>
      </w:r>
    </w:p>
    <w:p>
      <w:r>
        <w:rPr>
          <w:b/>
        </w:rPr>
        <w:t>E. 4.1</w:t>
      </w:r>
    </w:p>
    <w:p>
      <w:r>
        <w:t>En l'espèce, les conditions d'une reconsidération sont réunies. En effet, selon la jurisprudence, l'octroi illégal de prestations est réputé sans nul doute erroné (ATF 126 V 399 consid. 2b/bb et les références ; DTA 2002 n° 27 consid. 1a). Dans le cas concret, du 20 avril au 25 septembre 2023, des prestations ont été versées au recourant par le service PCM de l'OCE sur la base d'un gain assuré de CHF 4'117.-. Or, sa caisse de chômage l'avait indemnisé depuis le 2 février 2023, date d'ouverture de son délai-cadre, avec un gain assuré de CHF 2'236.-, de sorte que le gain pris en compte de CHF 4'117.- était erroné, ce que le recourant ne conteste pas. L'OCE a donc reconsidéré les prestations versées pour la période du 20 avril au 25 septembre 2023 avec un gain assuré de CHF 2'236.-. Le montant total net des prestations versées à tort s'élève à CHF 6'948.20. La condition de l'importance notable de la rectification est de toute évidence réalisée lorsqu'on est en présence d'une prestation périodique (ATF 119 V 475 consid. 1c et les arrêts cités), étant rappelé qu'une somme de CHF 706.- est déjà considérée comme suffisamment importante par le Tribunal fédéral (DTA 2000 n° 40 p. 208 ; arrêt du Tribunal fédéral des assurances C.11/05 du 16 août 2005 consid. 5.2 qui porte sur un montant indu de CHF 1'805.95). La demande de restitution de l'OCE du 18 octobre 2023 a été déposée dans les délais légaux. Partant, la demande de restitution de la somme de CHF 6'948.20 doit être confirmée.</w:t>
      </w:r>
    </w:p>
    <w:p>
      <w:r>
        <w:rPr>
          <w:b/>
        </w:rPr>
        <w:t>E. 4.2</w:t>
      </w:r>
    </w:p>
    <w:p>
      <w:r>
        <w:t>Le recourant invoque sa bonne foi ainsi que son indigence. Ce faisant, le recourant demande la remise de l'obligation de restituer. Celle-ci ne peut toutefois pas, à ce stade, être examinée, soit les conditions de la bonne foi de l'intéressé et les difficultés économiques de celui-ci (art. 19 al. 2 LMC), car elle ne peut être traitée sur le fond que si la décision de restitution est entrée en force, ce qui n'est en l'occurrence pas encore le cas, la remise et son étendue faisant l'objet d'une procédure distincte (cf. art. 4 al. 4 de l'Ordonnance du 11 septembre 2002 sur la partie générale du droit des assurances sociales [OPGA, RS 830.11], arrêts</w:t>
      </w:r>
    </w:p>
    <w:p>
      <w:r>
        <w:t>A/1241/2024 - 6/7 - du Tribunal fédéral 8C_799/2017 ; 8C_814/2017 du 11 mars 2019 consid. 6 et les références). Ainsi, il convient de transmettre la demande de remise de l'obligation de restituer à l'intimé, comme objet de sa compétence.</w:t>
      </w:r>
    </w:p>
    <w:p>
      <w:r>
        <w:rPr>
          <w:b/>
        </w:rPr>
        <w:t>E. 5</w:t>
      </w:r>
    </w:p>
    <w:p>
      <w:r>
        <w:t>En conséquence, le recours est rejeté. Pour le surplus, la procédure est gratuite (art. 61 let. a LPGA).</w:t>
      </w:r>
    </w:p>
    <w:p>
      <w:r>
        <w:t>A/1241/2024 - 7/7 -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