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ATAS/571/2019 vom 25. Juni 2019</w:t>
      </w:r>
    </w:p>
    <w:p>
      <w:r>
        <w:t>GE Cour de justice, 2019-06-25, FR</w:t>
      </w:r>
    </w:p>
    <w:p>
      <w:r>
        <w:rPr>
          <w:b/>
        </w:rPr>
        <w:t xml:space="preserve">Quelle: </w:t>
      </w:r>
      <w:r>
        <w:t>https://mcp.opencaselaw.ch/entscheid/ge_gerichte_ATAS_571_2019</w:t>
      </w:r>
    </w:p>
    <w:p>
      <w:r>
        <w:t>FR: GE_GERICHTE ATAS/571/2019 du 25 juin 2019</w:t>
      </w:r>
    </w:p>
    <w:p>
      <w:r>
        <w:t>IT: GE_GERICHTE ATAS/571/2019 del 25 giugno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et art. 62 al. 1 let. a de la loi sur la procédure administrative du 12 septembre 1985 [LPA-GE - E 5 10]). Interjeté dans la forme et le délai prévus par la loi, le recours est ainsi recevable (art. 56 ss LPGA et 62 ss LPA-GE).</w:t>
      </w:r>
    </w:p>
    <w:p>
      <w:r>
        <w:rPr>
          <w:b/>
        </w:rPr>
        <w:t>E. 3</w:t>
      </w:r>
    </w:p>
    <w:p>
      <w:r>
        <w:t>Le litige porte sur le droit de l’assuré à des prestations AI, et singulièrement sur son degré d’invalidité. 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w:t>
      </w:r>
    </w:p>
    <w:p>
      <w:r>
        <w:t>A/4828/2017 - 8/18 -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d. Les normes réglementaires et les principes jurisprudentiels sur les modalités de l'examen d'une nouvelle demande après que des prestations ont été refusées par une</w:t>
      </w:r>
    </w:p>
    <w:p>
      <w:r>
        <w:t>A/4828/2017 - 9/18 -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rPr>
          <w:b/>
        </w:rPr>
        <w:t>E. 4</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A/4828/2017 - 10/18 - En ce qui concerne les facteurs psychosociaux ou socioculturels et leur rôle en matière d'invalidité, ils ne figurent pas au nombre des atteintes à la santé susceptibles d'entraîner une incapacité de gain au sens de l'art. 4 al. 1 LAI, de sorte que les constatations du Dr C______ relatives à des facteurs non médicaux ne sauraient être prises en considération.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A/4828/2017 - 11/18 -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w:t>
      </w:r>
    </w:p>
    <w:p>
      <w:r>
        <w:t>A/4828/2017 - 12/18 - directives spécialisées de portée générale de l’office fédéral (al. 1). Les services médicaux régionaux peuvent au besoin procéder eux-mêmes à des examens médicaux sur la personne des assurés. Ils consignent les résultats de ces examens par écrit (al. 2).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leurs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A/4828/2017 - 13/18 -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p. 28 consid. 4b), la jurisprudence rendue sous l’empire de l’art. 4 aCst. étant toujours valable (ATF 124 V 90 consid. 4b; ATF 122 V 157 consid. 1d). 8. En l’espèce, il convient de comparer les faits tels qu’ils se présentaient lors de la décision du 18 août 2008, rejetant la demande de rente, vu le degré d’invalidité fixé alors à 7,5%, avec ceux prévalant au moment de la décision querellée. Il s’agit plus particulièrement de déterminer s’il y a eu, depuis, aggravation de l’état de santé de l’assuré. Par arrêt du 29 novembre 2016 (ATAS/994/2016), la chambre de céans a considéré que c’était à juste titre que le SMR avait retenu les conclusions de l’examen rhumatologique effectué au SMR le 27 novembre 2007, soit une capacité de travail de 100% dans une activité adaptée, le médecin traitant indiquant le 2 août 2013 que l’état de santé de l’assuré était resté le même sur le plan rhumatologique. Elle a en revanche renvoyé la cause à l’OAI pour instruction complémentaire, considérant</w:t>
      </w:r>
    </w:p>
    <w:p>
      <w:r>
        <w:t>A/4828/2017 - 14/18 - que l’expertise psychiatrique des Drs D______ et E______ du 18 juillet 2014 n’avait pas valeur probante. L’OAI a alors mandaté le Dr F______ et s’est fondé sur le rapport d’expertise établi par celui-ci, ainsi que sur l’avis du SMR du 18 septembre 2017, pour rendre la décision litigieuse. 9. Il s’agit, préalablement, d’examiner si le rapport d’expertise et l’avis du SMR ont valeur probante. L’expertise réalisée par le Dr F______ se fonde sur des examens complets effectués en connaissance du dossier médical. L’expert a tenu compte des plaintes exprimées par l’assuré. Ses conclusions sont claires et motivées, de sorte que l’expertise satisfait aux réquisits jurisprudentiels topiques en matière de valeur probante. Tel n’est en revanche pas le cas de l’avis du SMR. En effet, selon l’expert, la capacité de travail de l’assuré est de 100%, avec une baisse de rendement de 30%, d’un point de vue psychiatrique, dans toute activité adaptée au status somatique. Il a considéré que ni la dysthymie, ni le trouble somatoforme douloureux n’étaient incapacitants. Or, le SMR en a conclu, dans sa note du 18 septembre 2017, que l’assuré ne présentait aucune atteinte psychique incapacitante selon la LAI et a dès lors retenu une capacité de travail de 100% dans une activité adaptée qui tienne compte des limitations fonctionnelles rhumatologiques, soit pas de port de charges supérieur à</w:t>
      </w:r>
    </w:p>
    <w:p>
      <w:r>
        <w:rPr>
          <w:b/>
        </w:rPr>
        <w:t>E. 15</w:t>
      </w:r>
    </w:p>
    <w:p>
      <w:r>
        <w:t>kg, pas de flexion-rotation du tronc en porte-à-faux, alternance des positions assise et debout, pas d’utilisation de machine vibrante. Il n’explique pas pourquoi il ne fait pas cas de la baisse de rendement de 30% retenue par l’expert. En outre, l’expert a indiqué que la recherche d’une activité adaptée devrait être réalisée après un bilan de compétences et surtout du status somatique, mais aussi en tenant compte des désirs de l’assuré qui envisagerait peut-être un emploi dans la sécurité. Il ajoute que la situation n’est pas stabilisée et devrait être réévaluée dans une année en fonction de l’évolution après la mise en place des mesures thérapeutiques susmentionnées. Le SMR ignore toutefois cette observation. Force est ainsi de constater que le SMR s’écarte des conclusions du Dr F______ sans aucune explication, tout en affirmant se fonder sur celles-ci. 10. L’assuré conteste les conclusions de l’expertise du Dr F______ en tant qu’elles évaluent sa capacité de travail à 100% avec une baisse de rendement de 30% dans une activité adaptée. Il considère en effet qu’il ne peut plus travailler, quelle que soit l’activité envisagée. À sa demande, la chambre de céans a entendu le Dr C______ le 4 décembre 2018. Celui-ci toutefois a déclaré qu’il ne pouvait pas poser de diagnostic en particulier. Il ne peut à cet égard pas confirmer le trouble dépressif récurrent retenu par l’expert en 2015, mais souligne que l’assuré n’a pas la vie facile. Il insiste ainsi sur les difficultés d’intégration en Suisse rencontrées par l’assuré, ses problèmes familiaux et son manque de formation.</w:t>
      </w:r>
    </w:p>
    <w:p>
      <w:r>
        <w:t>A/4828/2017 - 15/18 - Il convient en conséquence de se fonder sur la capacité de travail telle qu’elle a été évaluée par l’expert, à savoir une capacité de travail de 100% avec une baisse de rendement de 30%. 11. Reste à déterminer le degré d’invalidité de l’assuré, en procédant à la comparaison des gains réalisés avant et après l’invalidité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12. 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w:t>
      </w:r>
    </w:p>
    <w:p>
      <w:r>
        <w:t>A/4828/2017 - 16/18 - revenu d'invalide peut être évalué sur la base de salaires fondés sur les données statistiques résultant de l'ESS ou sur les données salariales résultant des descriptions de postes de travail établies par la CNA (ATF 139 V 592 consid. 2.3 p. 593).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qu’ils soient dus l’invalidité ou étrangers à l’assurance-invalidité (Circulaire sur l’invalidité et l’impotence dans l’assurance-invalidité (CIIAI), n° 3067.2 ;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w:t>
      </w:r>
    </w:p>
    <w:p>
      <w:r>
        <w:t>A/4828/2017 - 17/18 -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doit porter son attention sur les différentes solutions qui s'offraient à l'organe de l'exécution de l'assurance-invalidité et voir si un abattement plus ou moins élevé (mais limité à 25% [ATF 126 V 75]) serait mieux approprié et s'imposerait pour un motif pertinent, sans toutefois substituer sa propre appréciation à celle de l'administration (ATF 137 V 71 consid. 5.2 p. 73). 13. En l’espèce, le salaire sans invalidité correspond au dernier salaire obtenu par l’assuré en qualité de déménageur en 2004, soit CHF 57'600.- (CHF 4'800 x 12), et le revenu avec invalidité, au chiffre pris en considération par l’OAI sur la base de l’Enquête suisse sur la structure des salaires (ESS) dans sa décision du 18 août 2008, afin de rester sur des bases temporelles identiques, compte tenu de la baisse de rendement de 30% résultant de l’expertise du Dr F______, ce qui donne CHF 37'293.-. La chambre de céans est par ailleurs d’avis qu’il se justifie en l’espèce d’admettre une réduction de 10%. En effet, l’assuré est âgé de 56 ans en 2017 et a été absent de façon prolongée du marché du travail (cf. notamment arrêt du Tribunal fédéral 8C 82/2017). On obtient, en comparant le revenu sans invalidité et celui avec invalidité, compte tenu d’un taux d’abattement supplémentaire de 10%, un degré d’invalidité de 42%, ce qui ouvre le droit de l’assuré à un quart de rente d’invalidité (art. 28 LAI) à compter du 1er décembre 2013 (art. 29 LAI). Aussi le recours est-il partiellement admis.</w:t>
      </w:r>
    </w:p>
    <w:p>
      <w:r>
        <w:t>A/4828/2017 - 18/18 -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