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ATAS/571/2016 vom 11. Juli 2016</w:t>
      </w:r>
    </w:p>
    <w:p>
      <w:r>
        <w:t>GE Cour de justice, 2016-07-11, FR</w:t>
      </w:r>
    </w:p>
    <w:p>
      <w:r>
        <w:rPr>
          <w:b/>
        </w:rPr>
        <w:t xml:space="preserve">Quelle: </w:t>
      </w:r>
      <w:r>
        <w:t>https://mcp.opencaselaw.ch/entscheid/ge_gerichte_ATAS_571_2016</w:t>
      </w:r>
    </w:p>
    <w:p>
      <w:r>
        <w:t>FR: GE_GERICHTE ATAS/571/2016 du 11 juillet 2016</w:t>
      </w:r>
    </w:p>
    <w:p>
      <w:r>
        <w:t>IT: GE_GERICHTE ATAS/571/2016 del 11 luglio 2016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décembre 2015 à l’encontre d’une décision du</w:t>
      </w:r>
    </w:p>
    <w:p>
      <w:r>
        <w:rPr>
          <w:b/>
        </w:rPr>
        <w:t>E. 4</w:t>
      </w:r>
    </w:p>
    <w:p>
      <w:r>
        <w:t>25) ; Que sa compétence pour juger du cas d’espèce est ainsi établie ; Que le recours pour déni de justice est recevable (art. 56 al. 2 LPGA) ; Qu’en l’espèce, l’intimé a rendu une décision le 21 juin 2016, de sorte que le recours est devenu sans objet (ATF 123 I 286) ; Que le recourant, qui n’est pas représenté, n’a pas droit à des dépens, de sorte qu’il est superflu d’examiner si, au jour du dépôt du recours, le 31 mai 2016, l’on pourrait reprocher à l’intimé un retard injustifié ; Qu’il convient en conséquence de déclarer le recours sans objet et de rayer la cause du rôle.</w:t>
      </w:r>
    </w:p>
    <w:p>
      <w:r>
        <w:t>A/1787/2016 - 3/3 -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