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ATAS/570/2024 vom 12. Juli 2024</w:t>
      </w:r>
    </w:p>
    <w:p>
      <w:r>
        <w:t>GE Cour de justice, 2024-07-12, FR</w:t>
      </w:r>
    </w:p>
    <w:p>
      <w:r>
        <w:rPr>
          <w:b/>
        </w:rPr>
        <w:t xml:space="preserve">Quelle: </w:t>
      </w:r>
      <w:r>
        <w:t>https://mcp.opencaselaw.ch/entscheid/ge_gerichte_ATAS_570_2024</w:t>
      </w:r>
    </w:p>
    <w:p>
      <w:r>
        <w:t>FR: GE_GERICHTE ATAS/570/2024 du 12 juillet 2024</w:t>
      </w:r>
    </w:p>
    <w:p>
      <w:r>
        <w:t>IT: GE_GERICHTE ATAS/570/2024 del 12 luglio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t>A/1929/2023 - 6/22 - Le 1er janvier 2021 est entrée en vigueur la modification du 21 juin 2019 de la LPGA. Dans la mesure où le recours a été interjeté postérieurement au 1er janvier 2021, il est soumis au nouveau droit (cf. art. 82a LPGA a contrario). Interjeté en temps utile, le recours est recevable (art. 60 LPGA).</w:t>
      </w:r>
    </w:p>
    <w:p>
      <w:r>
        <w:rPr>
          <w:b/>
        </w:rPr>
        <w:t>E. 2</w:t>
      </w:r>
    </w:p>
    <w:p>
      <w:r>
        <w:t>Le litige porte sur le droit du recourant à une rente d’invalidité entière jusqu’en novembre 2021, puis d’une demi-rente, subsidiairement de mesures professionnelles.</w:t>
      </w:r>
    </w:p>
    <w:p>
      <w:r>
        <w:rPr>
          <w:b/>
        </w:rPr>
        <w:t>E. 3</w:t>
      </w:r>
    </w:p>
    <w:p>
      <w:r>
        <w:t>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w:t>
      </w:r>
    </w:p>
    <w:p>
      <w:r>
        <w:t>A/1929/2023 - 10/22 -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w:t>
      </w:r>
    </w:p>
    <w:p>
      <w:r>
        <w:t>A/1929/2023 - 11/22 -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w:t>
      </w:r>
    </w:p>
    <w:p>
      <w:r>
        <w:t>A/1929/2023 - 12/22 -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3.1</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un éventuel droit à une rente d’invalidité naîtrait antérieurement au 1er janvier 2022, l’incapacité de travail invoquée débutant en décembre 2013 et la demande de prestations ayant été déposée en 2014, de sorte que les dispositions légales applicables seront citées dans leur ancienne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A/1929/2023 - 7/22 -</w:t>
      </w:r>
    </w:p>
    <w:p>
      <w:r>
        <w:rPr>
          <w:b/>
        </w:rPr>
        <w:t>E. 3.3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w:t>
      </w:r>
    </w:p>
    <w:p>
      <w:r>
        <w:t>A/1929/2023 - 8/22 - intact (ATF 141 V 281 consid. 2.2.1 et 2.2.2 ; ATF 132 V 65 consid. 4.2.2 ; arrêt du Tribunal fédéral 9C_16/2016 du 14 juin 2016 consid. 3.2).</w:t>
      </w:r>
    </w:p>
    <w:p>
      <w:r>
        <w:rPr>
          <w:b/>
        </w:rPr>
        <w:t>E. 3.4</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(ATF 143 V 409 consid. 4.5.3 et 418 consid. 7.1 ; arrêts du Tribunal fédéral 8C_43/2023 du 29 novembre 2023 consid. 5.2 ;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3.5</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w:t>
      </w:r>
    </w:p>
    <w:p>
      <w:r>
        <w:t>A/1929/2023 - 9/22 -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rPr>
          <w:b/>
        </w:rPr>
        <w:t>E. 3.6</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w:t>
      </w:r>
    </w:p>
    <w:p>
      <w:r>
        <w:t>A/1929/2023 - 13/22 -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t>A/1929/2023 - 14/22 -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3.7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w:t>
      </w:r>
    </w:p>
    <w:p>
      <w:r>
        <w:t>A/1929/2023 - 15/22 -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En l’espèce, le recourant soutient que le volet psychiatrique de l’expertise du H______ n’est pas convaincant, du fait des lacunes qu’il comporte. Il convient donc d’examiner la valeur probante de l'expertise sur laquelle se fonde la décision litigieuse. La chambre de céans relève tout d’abord qu’à la forme, l’expertise, qui comprend les données objectives du dossier - soit les pièces médicales, les données subjectives de l’assuré, l'anamnèse, l'examen psychiatrique - comporte une partie relative à l’analyse des indicateurs jurisprudentiels pertinents, ainsi que des conclusions et réponses claires aux questions. Elle remplit ainsi tous les réquisits jurisprudentiels. L’aspect formel ne semble d’ailleurs pas être critiqué par le recourant. En revanche, pour ce qui est du fond, la chambre de céans relève que, pour diverses raisons, le volet psychiatrique de l’expertise, et particulièrement les conclusions auxquelles il aboutit, ne sont pas convaincants. Tout d’abord, il sied de relever que, si les pièces médicales sont bien listées dans l’expertise, elles ne sont pas prises en compte ni discutées par l’expert psychiatre. Ce dernier ne prend en particulier pas position sur l'opinion médicale divergente des médecins traitants ni ne motive ses propres conclusions. Il ne tient pas non plus compte des plaintes du recourant. Au final, l’expert semble exclusivement fonder ses conclusions sur son propre examen clinique lequel paraît plutôt sommaire, dans la mesure où l’expert n’indique pas avoir procédé aux tests usuels pour évaluer l'état dépressif ou l'anxiété. Sur cette base, l’expert conclut à une situation exempte de toute psychopathologie spécifique et encore moins incapacitante. Il ne discute pas les avis médicaux détaillés et motivés qui figurent pourtant dans le long résumé des pièces médicales</w:t>
      </w:r>
    </w:p>
    <w:p>
      <w:r>
        <w:t>A/1929/2023 - 16/22 - à disposition des experts (Expertise, pages 19 et 21), se contentant d’écarter les diagnostics qui y figurent sans réelle motivation. Concernant le diagnostic de trouble dépressif récurrent, il le rejette du fait que l’expertisé est né en 1987 alors que « cette psychologie diagnostique, cause des troubles bipolaires, débute durant la cinquième décennie » et qu’il n’y a « à l’évidence pas d’épisode dépressif » au sens de la classification internationale des maladies (CIM), « les items sémiologiques requis » faisant défaut (p. 61). À nouveau, cette analyse omet non seulement les différents rapports médicaux figurant au dossier du recourant, mais également divers éléments de la lignée dépressive, évoqués à l'anamnèse par l’intéressé non discutés. L’expert écarte tout diagnostic de la lignée dépressive essentiellement sur la base de quelques éléments relevés lors de l’entretien et repris à de multiples reprises dans l’expertise, à savoir que : « le recourant a su se marier » (p. 31, 59), est parti en vacances (p. 31, 32, 38, 52, 53, 55, 58) et a un réseau relationnel amical fonctionnel (p. 31, 55, 59, 60, 62, 63). Ces explications sont cependant décontextualisées et peu nuancées. Ainsi, si le recourant est effectivement marié, il vit seul, son épouse demeurant au Kosovo depuis leur mariage. C’est d’ailleurs au Kosovo, dans un cadre familial et auprès de son épouse que le recourant a passé les seules vacances dont l’expertise fait mention. En outre, le contenu de ces vacances n’a pas été abordé lors de l’expertise, le Dr G______ retenant que leur seule existence permet d’établir une absence de baisse thymique et la présence d'une capacité hédonique. L'existence d'un réseau relationnel amical fonctionnel est également discutable, bien que non discuté par l’expert, chez un individu qui indique expressément être tout le temps tout seul, esseulé et ne pas avoir d’amis (p. 31, 61). L’expert écarte rapidement ces déclarations, estimant qu’elles sont incohérentes avec d’autres propos du recourant selon lesquels il partage des cigarettes et des cafés avec des amis, de manière vespérale, après leur journée de travail (p. 31, 60) ou que des amis lui ont prêté de l’argent dont ils demandent maintenant le remboursement (p. 52). À nouveau, le raisonnement semble un peu court, étant rappelé que l’expert avait tout le loisir de questionner l’intéressé afin d’obtenir des clarifications sur ces potentielles contradictions. De telles investigations complémentaires paraissent d’autant plus nécessaires que l’intéressé ne parle pas français et que ses propos (et donc ses éventuelles incohérences) étaient ainsi retranscrits par un interprète. Surtout, l’isolement social, la solitude et la difficulté de communiquer du recourant sont mentionnés de manière récurrente par ses psychiatres comme des facteurs importants de sa dépression (cf. rapports médicaux du CAPPI du 14 novembre 2018 au 5 janvier 2022 du CAPPI Servette, pages 1246 à 1298 du dossier de l’intimé). Enfin, l’expert met en avant que l’assuré a interrompu lui-même tout traitement pharmacologique antidépresseur, ce qui ne serait guère compatible notamment</w:t>
      </w:r>
    </w:p>
    <w:p>
      <w:r>
        <w:t>A/1929/2023 - 17/22 - avec l’inflexion thymique constante dont il fait état (p. 31). Il n’a cependant pas discuté les motifs de cet arrêt avec l’expertisé, ce quand bien même plusieurs rapports au dossier font état d’effets secondaires des différents traitements et de leur absence de bénéfice (cf. notamment le rapport du 3 septembre 2021 du Dr E______). En résumé, l’expert écarte un diagnostic posé et expliqué par les psychiatres traitants, pour des motifs peu compréhensibles et peu argumentés, sans même discuter l’analyse de ses confrères. La manière dont l’expert écarte le diagnostic de syndrome douloureux somatoforme persistant paraît encore moins convaincante, dans la mesure où il se contente d’indiquer que ce syndrome « a été investigué au sein de notre travail selon les indicateurs de l’ATF du 3 juin 2015. Nous ne pouvons que nous éloigner de cette supposition diagnostique » (p. 31 et 61). Aucune trace de ces investigations ne figure à l’expertise, alors que le recourant a fait état, lors de l’examen, de multiples symptômes d’allure somatoforme, soit notamment des céphalées, des douleurs oculaires, une scapulalgie gauche, une douleur thoracique, une lombalgie droite, des douleurs du membre inférieur droit permanentes. À nouveau, ces plaintes ne sont pas discutées, pas plus que les rapports des psychiatres traitants développant les motifs pour lesquels ils soupçonnent un syndrome douloureux somatoforme persistant. Ces lacunes au stade du diagnostic posent évidemment problème quant à la validité de nombreux autres aspects de l’expertise. En effet, l’application de la grille d’évaluation des indicateurs selon l’ATF 141 V 281 présuppose l’existence d’un diagnostic d’un degré de gravité certain, émanant d’un expert, s’appuyant selon les règles de l’art sur les critères d’un système de classification reconnu (ATF 141 V 281, consid. 2.1 et 2.1.1). En ne retenant pas de tels diagnostics et en les écartant de manière non convaincante, l’expertise ne permet pas un tel examen. Ainsi, à titre d’exemple, l’indicateur de comorbidités (entre les effets d’atteintes considérées inexistantes) ne peut être investigué de manière pertinente. Il en va de même de l’indicateur des chances de succès du traitement relativement auquel l’expert relève : « les chances de guérison d'une absence de psychopathologie spécifique sont bonnes » (p. 30 et 62). Pour cette raison également, l’expertise ne peut pas être considérée comme probante et ses conclusions relatives notamment à la capacité de travail ne peuvent être suivies. À cet égard, comme le relève à juste titre le recourant, il n’est pas non plus satisfaisant que l'expert psychiatre indique que la capacité sur le plan psychique est pleine de tout temps, mais sans indiquer comment il évalue son évolution depuis 2018. Pourtant, les rapports des médecins des HUG qui ont suivi l’intéressé dès 2018 relèvent que ce n'est qu'en 2021 que son état de santé</w:t>
      </w:r>
    </w:p>
    <w:p>
      <w:r>
        <w:t>A/1929/2023 - 18/22 - psychique s'est amélioré permettant, selon eux, d'estimer alors la capacité de travail à 80% (rapport des HUG du 17 janvier 2022). Auparavant, soit en novembre 2018, le médecin du CAPPI notait un épisode dépressif sévère avec des idées de mort passive et un score au questionnaire de Beck de 50/63 (rapport des HUG du 6 novembre 2018). En mars 2019, c’était une composante dépressive en péjoration, une thymie triste, une anxiété des troubles du sommeil, une anhédonie, une aboulie, une perte de l'élan vital qui était décrite. Le recourant expliquant passer ses journées devant la télévision en s'occupant de sa jambe et ne sortir que pour les rendez-vous médicaux ou quand un ami lui propose de le voir ce qui n'est pas fréquent (rapport des HUG du 4 mars 2019). Un usage excessif d'alcool durant une certaine période en 2019 est également relaté dans les documents établis par les médecins du CAPPI (rapports des 11 novembre 2019 et 17 janvier 2022). En novembre 2019, il était fait état d’un épisode dépressif modéré à sévère stationnaire et notait que le recourant restait souvent enfermé, n'avait pas de loisirs, à part regarder un peu la télévision. Il était également indiqué qu'il voyait parfois des amis, mais peu de temps, car ces derniers étaient occupés et s'éloignaient peu à peu de lui (rapport des HUG du 11 novembre 2019). À nouveau, bien que toutes ces pièces figurent au dossier, elles ne sont pas prises en compte par l’expert psychiatre et l’évolution de la capacité de travail au fil du temps n’est pas analysée. Pour l’ensemble de ces raisons, le volet psychiatrique de l’expertise ne peut pas être considéré comme probant. Pour autant, les rapports des psychiatres traitants, attestant d’atteintes à la santé et d’une capacité de travail réduite, ne suffisent pas non plus à trancher la cause eu égard à leur faible densité de motivation. Ils ne permettent notamment pas de se déterminer sur la capacité de travail du recourant à l'aune des indicateurs développés par la jurisprudence applicable en matière de troubles psychiques. Partant, il est indispensable de compléter l'instruction médicale en ordonnant une nouvelle expertise psychiatrique.</w:t>
      </w:r>
    </w:p>
    <w:p>
      <w:r>
        <w:rPr>
          <w:b/>
        </w:rPr>
        <w:t>E. 4.1</w:t>
      </w:r>
    </w:p>
    <w:p>
      <w:r>
        <w:t>Avec répercussion sur la capacité de travail</w:t>
      </w:r>
    </w:p>
    <w:p>
      <w:r>
        <w:t>Dates d'apparition</w:t>
      </w:r>
    </w:p>
    <w:p>
      <w:r>
        <w:rPr>
          <w:b/>
        </w:rPr>
        <w:t>E. 4.2</w:t>
      </w:r>
    </w:p>
    <w:p>
      <w:r>
        <w:t>Sans répercussion sur la capacité de travail</w:t>
      </w:r>
    </w:p>
    <w:p>
      <w:r>
        <w:t>Dates d'apparition</w:t>
      </w:r>
    </w:p>
    <w:p>
      <w:r>
        <w:rPr>
          <w:b/>
        </w:rPr>
        <w:t>E. 4.3</w:t>
      </w:r>
    </w:p>
    <w:p>
      <w:r>
        <w:t>Quel est le degré de gravité de chacun des troubles diagnostiqués (faible, moyen, grave) ?</w:t>
      </w:r>
    </w:p>
    <w:p>
      <w:r>
        <w:rPr>
          <w:b/>
        </w:rPr>
        <w:t>E. 4.4</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t>A/1929/2023 - 20/22 -</w:t>
      </w:r>
    </w:p>
    <w:p>
      <w:r>
        <w:rPr>
          <w:b/>
        </w:rPr>
        <w:t>E. 4.5</w:t>
      </w:r>
    </w:p>
    <w:p>
      <w:r>
        <w:t>Dans l’affirmative, considérez-vous que cela suffise à exclure une atteinte à la santé significative ?</w:t>
      </w:r>
    </w:p>
    <w:p>
      <w:r>
        <w:rPr>
          <w:b/>
        </w:rPr>
        <w:t>E. 5</w:t>
      </w:r>
    </w:p>
    <w:p>
      <w:r>
        <w:t>Limitations fonctionnelles</w:t>
      </w:r>
    </w:p>
    <w:p>
      <w:r>
        <w:rPr>
          <w:b/>
        </w:rPr>
        <w:t>E. 5.1</w:t>
      </w:r>
    </w:p>
    <w:p>
      <w:r>
        <w:t>Indiquer les limitations fonctionnelles en relation avec chaque diagnostic</w:t>
      </w:r>
    </w:p>
    <w:p>
      <w:r>
        <w:t>Dates d'apparition</w:t>
      </w:r>
    </w:p>
    <w:p>
      <w:r>
        <w:rPr>
          <w:b/>
        </w:rPr>
        <w:t>E. 5.2</w:t>
      </w:r>
    </w:p>
    <w:p>
      <w:r>
        <w:t>Les plaintes sont-elles objectivées ?</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 plan somatique ?</w:t>
      </w:r>
    </w:p>
    <w:p>
      <w:r>
        <w:t>A/1929/2023 - 21/22 -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juin 2018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t>A/1929/2023 - 22/22 -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10.5</w:t>
      </w:r>
    </w:p>
    <w:p>
      <w:r>
        <w:t>En cas de prise de psychotropes et d’antidouleurs, prière d’effectuer un dosage sanguin afin d’évaluer la compliance de l’assuré.</w:t>
      </w:r>
    </w:p>
    <w:p>
      <w:r>
        <w:rPr>
          <w:b/>
        </w:rPr>
        <w:t>E. 11</w:t>
      </w:r>
    </w:p>
    <w:p>
      <w:r>
        <w:t>Appréciation d'avis médicaux du dossier</w:t>
      </w:r>
    </w:p>
    <w:p>
      <w:r>
        <w:rPr>
          <w:b/>
        </w:rPr>
        <w:t>E. 11.1</w:t>
      </w:r>
    </w:p>
    <w:p>
      <w:r>
        <w:t>Êtes-vous d'accord avec les avis des différents psychiatres ayant suivi l’intéressé auprès du CAPPI de la Servette (cf. pages 1244 à 1298 du dossier de l’OAI). En particulier avec les rapports des 6 novembre 2018, 2 octobre 2019, 28 octobre 2020, 14 octobre et 9 décembre 2021 faisant état d’un diagnostic de trouble dépressif récurrent avec des épisodes dépressifs légers à sévères selon les périodes et relatant l’évolution du status psychiatrique ? Si non, pourquoi ?</w:t>
      </w:r>
    </w:p>
    <w:p>
      <w:r>
        <w:rPr>
          <w:b/>
        </w:rPr>
        <w:t>E. 11.2</w:t>
      </w:r>
    </w:p>
    <w:p>
      <w:r>
        <w:t>Êtes-vous d'accord avec les avis de la Dre C______ du 21 juin 2018 et du 19 juillet 2023 ? En particulier avec le diagnostic évoqué de possible trouble somatoforme ?</w:t>
      </w:r>
    </w:p>
    <w:p>
      <w:r>
        <w:rPr>
          <w:b/>
        </w:rPr>
        <w:t>E. 11.3</w:t>
      </w:r>
    </w:p>
    <w:p>
      <w:r>
        <w:t>Êtes-vous d’accord avec l’expertise du Dr G______ du 6 juillet 2022 ? En particulier avec les diagnostics écartés, l’absence de limitations fonctionnelles constatées et l’estimation d’une capacité de travail de 100% depuis toujours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Nathalie KOMAISKI</w:t>
      </w:r>
    </w:p>
    <w:p>
      <w:r>
        <w:t>La présidente</w:t>
      </w:r>
    </w:p>
    <w:p>
      <w:r>
        <w:t>Marine WYSSENBACH</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