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ATAS/570/2011 vom 31. Mai 2011</w:t>
      </w:r>
    </w:p>
    <w:p>
      <w:r>
        <w:t>GE Cour de justice, 2011-05-31, FR</w:t>
      </w:r>
    </w:p>
    <w:p>
      <w:r>
        <w:rPr>
          <w:b/>
        </w:rPr>
        <w:t xml:space="preserve">Quelle: </w:t>
      </w:r>
      <w:r>
        <w:t>https://mcp.opencaselaw.ch/entscheid/ge_gerichte_ATAS_570_2011</w:t>
      </w:r>
    </w:p>
    <w:p>
      <w:r>
        <w:t>FR: GE_GERICHTE ATAS/570/2011 du 31 mai 2011</w:t>
      </w:r>
    </w:p>
    <w:p>
      <w:r>
        <w:t>IT: GE_GERICHTE ATAS/570/2011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ayant été déposé dans le respect des forme et délai légaux, il y a lieu d'entrer en matière.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w:t>
      </w:r>
    </w:p>
    <w:p>
      <w:r>
        <w:t>A/1572/2010 - 7/12 -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Est litigieuse en l'espèce la suppression de la rente entière d'invalidité versée à la recourante. Singulièrement, il convient d'examiner si les conditions d'une révision du droit à la rente sont remplies.</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w:t>
      </w:r>
    </w:p>
    <w:p>
      <w:r>
        <w:t>A/1572/2010 - 8/12 - développés sous le régime de l'ancien art. 41 LAI, en vigueur jusqu'au 31 décembre 2002 (ATF 130 V 343 consid. 3.5). b) Le principe selon lequel l'administration peut en tout temps revenir d'office sur une décision formellement passée en force qui n'a pas donné lieu à un jugement sur le fond, lorsque celle-ci est manifestement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4a7cc).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TFA en la cause P. du 14 août 2003 [I 790/01], consid, 3).</w:t>
      </w:r>
    </w:p>
    <w:p>
      <w:r>
        <w:rPr>
          <w:b/>
        </w:rPr>
        <w:t>E. 6</w:t>
      </w:r>
    </w:p>
    <w:p>
      <w:r>
        <w:t>a) En l'espèce, la décision initiale d'octroi de rente du 13 juillet 1999, tout comme les confirmations des 21 janvier 2002 et 5 novembre 2004, reposait sur les avis médicaux des Drs A_________ et B_________, qui concluaient principalement à une fibromyalgie caractérisée par des douleurs musculaires et articulaires multiples et plusieurs points douloureux et une obésité importante. b) En 2010, moment de la suppression de rente litigieuse, force est de constater que le tableau clinique présenté par la recourante diffère sensiblement de celui qui était le sien en novembre 2004, date à laquelle l’octroi de rente a été confirmé pour la dernière fois. En effet, la recourante a perdu près de 40 kg, ce qui constitue une modification notable de son état de santé au sens de l’art. 17 LAI puisque l’obésité morbide dont l’assurée souffrait à l’époque influençait nettement sa capacité de</w:t>
      </w:r>
    </w:p>
    <w:p>
      <w:r>
        <w:t>A/1572/2010 - 9/12 - travail, ainsi que le signalait le Dr B_________. C’est dès lors à juste titre que l’intimé a ouvert une instruction afin de réévaluer la capacité de travail de l’intéressée, comme le préconisait d’ailleurs le Dr A_________. Reste à examiner si cette amélioration objective de la situation s’est traduite par une augmentation de la capacité de travail de l’assurée.</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A/1572/2010 - 10/12 -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 recourant fait grief à l'administration d'avoir fondé son appréciation de sa capacité de travail sur le rapport du Dr C_________, lequel n’a pas complété le bilan radiologique par des clichés récents. A cet égard, l’intimé soutient que des examens radiologiques complémentaires ne sont pas nécessaires car il est démontré que le handicap fonctionnel s'améliore en cas de perte de poids. Dès lors, seuls importent les aspects fonctionnels et eux seuls doivent être évalués. Cette argumentation ne convainc pas. Certes, la recourante a perdu énormément de poids et l’on peut a priori s’attendre à ce que cela ait améliore la situation. Il n’en demeure pas moins que selon elle, tel n’est pas le cas puisqu'à l'en croire, les douleurs restent inchangées. Dès lors, avant de conclure que rien ne justifiait l’ampleur de celles-ci, le médecin se devait de procéder à de nouveaux clichés, d’autant qu’il invoque précisément le bilan radiologique pour conclure à une discordance. De nouveaux clichés permettront de déterminer quelle a été l’évolution des atteintes rhumatologiques s’ajoutant au problème de fibromyalgie - dont il n’est pas contesté qu’il ne peut être considéré comme invalidant en l’espèce – à savoir : les troubles statiques et dégénératifs du rachis lombaire et la discopathie</w:t>
      </w:r>
    </w:p>
    <w:p>
      <w:r>
        <w:t>A/1572/2010 - 11/12 - protrusive médiane L4-L5 et quelle est précisément leur influence sur la capacité de travail de l’assurée. Il apparait manifeste à la Cour de céans que des investigations médicales complémentaires sont nécessaires à cet égard, ne serait-ce que pour vérifier que les troubles dégénératifs peuvent toujours être qualifiés de modérés. Il est rappelé que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La cause n'étant, de l'avis de la Cour de céans comme de la recourante, pas suffisamment instruite pour permettre de se déterminer en connaissance de cause, il convient d’admettre partiellement le recours et de renvoyer la cause à l’intimé pour instruction complémentaire puis nouvelle décision. En rendant cette dernière, l’intimé veillera à procéder à un nouveau calcul tenant compte d’un revenu avant invalidité de 50'088 fr. et d’un revenu après invalidité diminué pour tenir compte des circonstances du cas d’espèce.</w:t>
      </w:r>
    </w:p>
    <w:p>
      <w:r>
        <w:t>A/1572/2010 - 12/12 -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