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ATAS/570/2010 vom 13. März 1995</w:t>
      </w:r>
    </w:p>
    <w:p>
      <w:r>
        <w:t>GE Cour de justice, 1995-03-13, FR</w:t>
      </w:r>
    </w:p>
    <w:p>
      <w:r>
        <w:rPr>
          <w:b/>
        </w:rPr>
        <w:t xml:space="preserve">Quelle: </w:t>
      </w:r>
      <w:r>
        <w:t>https://mcp.opencaselaw.ch/entscheid/ge_gerichte_ATAS_570_2010</w:t>
      </w:r>
    </w:p>
    <w:p>
      <w:r>
        <w:t>FR: GE_GERICHTE ATAS/570/2010 du 13 mars 1995</w:t>
      </w:r>
    </w:p>
    <w:p>
      <w:r>
        <w:t>IT: GE_GERICHTE ATAS/570/2010 del 13 marzo 1995</w:t>
      </w:r>
    </w:p>
    <w:p>
      <w:pPr>
        <w:pStyle w:val="Heading2"/>
      </w:pPr>
      <w:r>
        <w:t>Erwägungen</w:t>
      </w:r>
    </w:p>
    <w:p>
      <w:r>
        <w:rPr>
          <w:b/>
        </w:rPr>
        <w:t>E. 1</w:t>
      </w:r>
    </w:p>
    <w:p>
      <w:r>
        <w:t>Conformément à l'art. 56V al. 1 let. a ch. 2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w:t>
      </w:r>
    </w:p>
    <w:p>
      <w:r>
        <w:t>A/2246/2009 - 8/17 - 830.1) qui sont relatives à la loi fédérale sur l’assurance-invalidité du 19 juin 1959 (LAI ; RS 831.20). Sa compétence pour juger du cas d’espèce est ainsi établie.</w:t>
      </w:r>
    </w:p>
    <w:p>
      <w:r>
        <w:rPr>
          <w:b/>
        </w:rPr>
        <w:t>E. 2</w:t>
      </w:r>
    </w:p>
    <w:p>
      <w:r>
        <w:t>L'examen du droit à des prestations selon la LAI s'agissant d'une révision du droit à la rente en application de l’art. 17 LPGA, voire d’une reconsidération au sens de l'art. 53 al. 2 LPGA, est régi par la teneur de la loi au moment de la décision entreprise eu égard au principe selon lequel les règles applicables sont celles en vigueur au moment où les faits juridiquement déterminants se sont produits (ATF 131 V 9 consid. 1; 130 V 445 consid. 1.2 et les références). En l'occurrence, les dispositions de la 4ème et de la 5ème révision de la LAI, entrées en vigueur respectivement le 1er janvier 2004 et le 1er janvier 2008, sont applicables, la décision litigieuse, du 25 mai 2009, étant postérieure à leur entrée en vigueur</w:t>
      </w:r>
    </w:p>
    <w:p>
      <w:r>
        <w:rPr>
          <w:b/>
        </w:rPr>
        <w:t>E. 3</w:t>
      </w:r>
    </w:p>
    <w:p>
      <w:r>
        <w:t>Interjeté dans la forme et le délai prescrits par la loi, le recours est recevable (art. 56 ss LPGA).</w:t>
      </w:r>
    </w:p>
    <w:p>
      <w:r>
        <w:rPr>
          <w:b/>
        </w:rPr>
        <w:t>E. 4</w:t>
      </w:r>
    </w:p>
    <w:p>
      <w:r>
        <w:t>Le litige porte, d'une part, sur le point de savoir si l'office intimé était fondé, par sa décision du 25 mai 2009, à supprimer le droit à la rente entière d'invalidité allouée à la recourante en date du 5 février 2003 et, d'autre part, sur le droit éventuel de l'assurée à des mesures médicales ou d'ordre professionnel.</w:t>
      </w:r>
    </w:p>
    <w:p>
      <w:r>
        <w:rPr>
          <w:b/>
        </w:rPr>
        <w:t>E. 5</w:t>
      </w:r>
    </w:p>
    <w:p>
      <w:r>
        <w:t>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 RS 831.201).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w:t>
      </w:r>
    </w:p>
    <w:p>
      <w:r>
        <w:t>A/2246/2009 - 9/17 -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consid 1.2).</w:t>
      </w:r>
    </w:p>
    <w:p>
      <w:r>
        <w:rPr>
          <w:b/>
        </w:rPr>
        <w:t>E. 6</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qui entre en considération, si cette diminution résulte d'une atteinte à la santé physique ou mentale et qu'elle persiste après les traitements et les mesure de réadaptation exigible.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w:t>
      </w:r>
    </w:p>
    <w:p>
      <w:r>
        <w:t>A/2246/2009 - 10/17 -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d)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sur la base des critères énoncés précédemment, une hiérarchie entre les divers types d'expertises médicales (cf. arrêt du Tribunal fédéral non publié du 15 septembre 2008, 9C_885/2007, consid. 3.2).</w:t>
      </w:r>
    </w:p>
    <w:p>
      <w:r>
        <w:rPr>
          <w:b/>
        </w:rPr>
        <w:t>E. 7</w:t>
      </w:r>
    </w:p>
    <w:p>
      <w:r>
        <w:t>a) Parmi les atteintes à la santé psychique, qui peuvent, comme les atteintes physiques, provoquer une invalidité, on doit mentionner - à part les maladies</w:t>
      </w:r>
    </w:p>
    <w:p>
      <w:r>
        <w:t>A/2246/2009 - 11/17 - mentales proprement dites - les anomalies psychiques qui équivalent à des maladies.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b) En ce qui concerne les facteurs psychosociaux ou socioculturels et leur rôle en matière d'invalidité, le Tribunal fédéral des assurances a précisé sa jurisprudence relative aux atteintes à la santé psychique (ATF 127 V 294).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w:t>
      </w:r>
    </w:p>
    <w:p>
      <w:r>
        <w:rPr>
          <w:b/>
        </w:rPr>
        <w:t>E. 8</w:t>
      </w:r>
    </w:p>
    <w:p>
      <w:r>
        <w:t>En l'espèce, il s'agit de comparer la situation de la recourante telle qu'elle se présentait au moment où elle a été mise au bénéfice d'une rente entière (décision du 5 février 2003) avec celle qui prévalait au moment où le droit à la rente a été supprimé (décision du 25 mai 2009).</w:t>
      </w:r>
    </w:p>
    <w:p>
      <w:r>
        <w:t>A/2246/2009 - 12/17 - a) Dans la première décision du 5 février 2003, l’OAI a notamment retenu une incapacité de travail entière de la recourante à partir du mois d’avril 1998. Cette décision reposait principalement sur une évaluation bi-disciplinaire du SMR effectuée en novembre 2002. Selon ce rapport, au moment de l’évaluation, la recourante ne présentait pas de séquelles somatiques invalidantes dans un emploi de secrétaire ou d’aide médicale. En revanche, du point de vue psychiatrique, après avoir connu une amélioration de son état de santé, justifiant une capacité de travail de 50%, son état s’était péjoré, et ce à partir d’avril 1998, la recourante ayant du reste arrêté complètement de travailler. Un état dépressif récurrent, épisode actuel sévère, sans symptômes psychotiques, était diagnostiqué, de même qu’un trouble de la personnalité émotionnellement labile type borderline, décompensé. En 2005, une expertise multidisciplinaire mise en œuvre par l’assureur-accidents (Drs Q__________ et R__________) a conclu à l’absence de toute maladie somatique ou psychique invalidante. Selon les experts, sur le plan psychiatrique, « l’assurée a certainement souffert, selon les divers rapports médicaux disponibles et ses propos, d’un syndrome de stress post-traumatique dans un premier temps ; un épisode dépressif dans un deuxième temps, en 2002, lorsqu’elle a été au SMR LEMAN ». Les experts se montraient critiques au sujet du second diagnostic et relevaient que l’expertisée ne présentait plus aucun symptôme de stress post- traumatique. Il existait bien en revanche quelques symptômes anxieux. Aucun diagnostic psychiatrique n’était en substance retenu. La recourante ayant contesté les conclusions de cette expertise, l’intimé a fait procéder à une évaluation psychiatrique, effectuée par le Dr V__________ en mai 2009. L’expert a observé que trois ans après l’expertise des Drs Q__________ et R__________, qui avaient constaté une nette amélioration de la situation, on se trouvait dans une évaluation relativement proche. L’assurée était apte à utiliser les transports publics, spontanément souriante, à l’aise dans les formules de politesse, un peu circonstanciée, également un peu ralentie, mais autrement souple, expressive. Au sujet de l’existence d’un état dépressif, l’expert a estimé qu’après pondération il s’agissait tout au plus d’une situation avec des fluctuations dysthymiques. La recourante n’avait plus du tout de suivi psychiatrique et ne prenait depuis plusieurs années aucun médicament psychotrope. L’expert soulignait par ailleurs que l’agression subie par l’expertisée faisait partie des événements pouvant conditionner l’existence et modifier la personnalité. Après une longue pondération, il arrivait à la conclusion que l’impact clinique de la modification de la personnalité était mineur. En conclusion, l’expert a diagnostiqué une dysthymie, des troubles anxieux mixtes avec quelques tendances agoraphobiques et de phobies sociales, ainsi qu’une modification durable de la personnalité après une expérience de catastrophe. S’agissant des deux premiers diagnostics, il n’y avait pas d’incapacité de travail de principe. La symptomatologie existait mais elle était influençable dans la mesure où l’assurée cherchait et acceptait de l’aide extérieure. S’agissant de la modification de la personnalité, son impact se situait dans une</w:t>
      </w:r>
    </w:p>
    <w:p>
      <w:r>
        <w:t>A/2246/2009 - 13/17 - fourchette de 20-30% d’incapacité de travail, voire alternativement dans une diminution de rendement. L’évaluation n’était pas tout à fait facile car les éléments de déconditionnement – donc non médicales – intervenaient très fortement. La capacité de travail, en cas de reprise d’une activité, était dans un premier temps handicapée par des problèmes d’adaptation, mais il était tout à fait imaginable que dans un second temps l’expertisée reprenne confiance et assume pleinement ses fonctions. b) En résumé, l’état dépressif invalidant à 100%, qui a succédé à l’état de stress post-traumatique consécutif à l’agression, retenu par les médecins du SMR en 2002, a évolué au point qu’en 2009, date de l’expertise du Dr V__________, voire très vraisemblablement déjà en 2005 - la situation observée par le Dr V__________ étant très proche de celle observée par le Dr Q__________ -, ce diagnostic n’était plus retenu. Dans ces conditions, force est de conclure, à l’instar des médecins du SMR (cf. avis médical du Dr A__________ du 20 mai 2009), que depuis l’octroi de la rente entière, l’état de santé de la recourante s’est modifié de même que ses répercussions sur la capacité de travail. En effet, la cause de l'incapacité de travail entière, à savoir la dépression, a disparu, la capacité de travail de la recourante se trouvant ainsi améliorée. Le fait que l’amélioration de l’état de santé existât très vraisemblablement bien avant que l'intimé ait rendu sa décision de suppression de la rente ne fait en aucun cas obstacle à une procédure de révision. Est en effet seul décisif à cet égard le fait qu'est intervenu un changement des circonstances entre la décision initiale d'octroi de la rente et celle qui modifie ce droit - ce qui est manifestement le cas en l'espèce. C'est d'ailleurs à l'avantage de la recourante que l'intimé ait attendu le mois de mars 2008 pour procéder à une révision des prestations allouées, cependant que les conditions mises à une telle révision étaient éventuellement déjà réunies bien plus tôt. En tout état de cause, l'analyse des états de fait déterminants fait apparaître une évolution significative quant à l'aptitude objective de l'intéressée à reprendre une activité lucrative, ce qui est suffisant pour constituer un motif de révision. Ce point n’est du reste pas contesté par la recourante. c) Dans ses conclusions, le Dr V__________ a estimé que l’agression dont avait été victime l’assurée pouvait avoir provoqué une modification durable de la personnalité après une expérience de catastrophe. Selon lui, ce trouble pouvait justifier une baisse de rendement de 20%-30% dans l’ancienne activité, diminution qui pouvait toutefois disparaître après une période de réentraînement au travail. L’expert a tempéré son propos en précisant que l’évaluation n’était pas tout à fait facile car les éléments de déconditionnement – donc non médicaux – intervenaient très fortement. Le Tribunal observe à ce sujet que la baisse de rendement observée par l’expert apparaît, au degré de la vraisemblance prépondérante requis, être essentiellement</w:t>
      </w:r>
    </w:p>
    <w:p>
      <w:r>
        <w:t>A/2246/2009 - 14/17 - imputable à des considérations non médicales - soit un déconditionnement au travail lié à la longue période d'inactivité de la recourante, qui est sans portée. En effet, les difficultés mises en évidence par ce médecin ne résultent pas de la persistance d'une limitation de nature physique ou psychique, mais bien plutôt du retrait du monde professionnel, lequel est une circonstance étrangère à la notion d'invalidité définie aux art. 7 et 8 al. 1 LPGA (cf. ATF 130 V 343 consid. 3.3 p. 347; voir également ATF 127 V 294 consid. 5 p. 299). L’expert a d’ailleurs précisé que la capacité de travail, pour une telle personne au moment où elle reprenait une activité, était dans un premier temps handicapée par des problèmes d’adaptation, mais il était tout à fait imaginable que, dans un deuxième temps, elle reprenait confiance et assumait pleinement ses fonctions (expertise V__________ p. 23). Ainsi, conformément à l’avis du SMR (avis du Dr A__________ du 20 mai 2009), la recourante ne présentait plus, au moment de l’expertise du Dr V__________, d’atteinte à la santé invalidante du point de vue psychiatrique. Cette solution concorde d’ailleurs avec les constatations de l’expertise de 2005 mise en œuvre par l’assureur-accidents, le Dr V__________ ayant lui-même admis qu’elles étaient très proches des siennes. La recourante ayant recouvré une pleine capacité de travail dans l’ancienne activité de secrétaire, c’est à juste titre que l’intimé a supprimé la rente d’invalidité, ce qu’elle ne conteste d’ailleurs pas (cf. PV de comparution personnelle du 2 décembre 2009, p. 1).</w:t>
      </w:r>
    </w:p>
    <w:p>
      <w:r>
        <w:rPr>
          <w:b/>
        </w:rPr>
        <w:t>E. 9</w:t>
      </w:r>
    </w:p>
    <w:p>
      <w:r>
        <w:t>Dans son recours du 25 juin 2009, la recourante conclut formellement à ce que l’intimé prenne en charge la formation continue en théorie et techniques de la communication écrite auprès de l’université de Genève, à laquelle elle s’était inscrite, et qu’elle lui octroie des indemnités journalières durant cette formation. Elle a également sollicité la prise en charge des médicaments prescrits par le Dr V__________, alors que la décision dont est recours ne s’est prononcée sur aucun de ces points.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voie de recours. En revanche, dans la mesure où aucune décision n'a été rendue, la contestation n'a pas d'objet, et un jugement sur le fond ne peut en principe pas être prononcé (ATF 125 V 413 consid. 1a p. 414; 119 Ib 33 consid. 1b p. 36 et les références). Toutefois, selon la jurisprudence, la procédure juridictionnelle administrative peut être étendue, pour des motifs d'économie de procédure, à une question en état d'être jugée qui excède l'objet de la contestation, c'est-à-dire le rapport juridique visé par</w:t>
      </w:r>
    </w:p>
    <w:p>
      <w:r>
        <w:t>A/2246/2009 - 15/17 -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En l’espèce, la décision litigieuse du 25 mai 2009 n’a porté que sur le droit de la recourante à une rente d'invalidité, singulièrement sur la suppression par voie de révision de la rente entière précédemment octroyée. Cette suppression ne saurait être interprétée comme étant un refus, même implicite, d'octroyer des mesures d’ordre professionnel ou médical (cf. 9C_386/2009, du 1er février 2010). Toutefois, il convient d’entrer en matière sur les conclusions de la recourante tendant à la mise en œuvre des mesures sollicitées, l’office intimé ayant pu prendre position à ce sujet dans ses déterminations sur le recours. L’OAI a du reste explicitement signifié qu’il aurait de toute manière refusé l’octroi de ces mesures, sans autre acte d’instruction complémentaire. Dès lors, la procédure juridictionnelle administrative peut être étendue, pour des motifs d'économie de procédure, à cette question qui excède le cadre étroit de la contestation (ATF 122 V 36 consid. 2a et les références). b) Sur le fond, s’agissant de la demande de prise en charge de la formation à l’université de Genève, force est de constater que la recourante sollicite une mesure de reclassement au sens de l’art. 17 LAI. Or, comme le relève à juste titre l’intimé, la recourante ne présente pas un degré d’invalidité d’environ 20%, qui constitue le seuil minimum fixé par la jurisprudence pour ouvrir droit à une mesure de reclassement (ATF 124 V 108 consid. 2b et les références). De manière plus générale, la recourante ne souffrant plus d’aucune atteinte à la santé somatique ou psychique susceptible d’entraver sa capacité de travail dans les activités exercées précédemment (employée de bureau ou secrétaire médicale), il n’y a pas de place pour l’octroi de mesures professionnelles, qui exigent la présence d’une incapacité de travail (cf. arrêt du Tribunal fédéral du 18 février 2010, 9C_677/2009). De plus, la formation dont la prise en charge est sollicitée ne semble pas répondre aux principes d’adéquation, d’équivalence et de simplicité requis. La recourante possède un baccalauréat français et une formation de secrétaire, sans certificat de capacité. Elle a exercé divers métiers, notamment comme employée de bureau et comme secrétaire médicale. Il ne semble pas conforme au principe d’équivalence de lui accorder, aux frais de l’assurance-invalidité, une formation universitaire post- grade, à laquelle elle a pu accéder grâce à son expérience d’auteur de deux livres, ce d’autant moins que cette formation semble bien plutôt s’inscrire dans un projet, certes louable, de développement personnel et de réorientation de sa carrière (cf. notamment arrêt du Tribunal fédéral du 12 décembre 2008, 9C_644/2008). La recourante a d’ailleurs déclaré en audience qu’elle s’était également inscrite à un module organisé par le Département de l’instruction publique, lui permettant de travailler dans des ateliers d’écriture pour les élèves, ce qui confirme cette aspiration.</w:t>
      </w:r>
    </w:p>
    <w:p>
      <w:r>
        <w:t>A/2246/2009 - 16/17 - Or, en tant que la recourante est en mesure d’exercer à plein temps son activité de secrétaire, pour laquelle elle dispose d'une formation et d’une expérience professionnelle, il est raisonnablement exigible qu'elle mette à profit cette capacité en exerçant les compétences dont elle dispose dans les activités précitées (cf. arrêt du Tribunal fédéral non publié, I 331/02, du 11 décembre 2002). Il lui appartient au premier chef d'atténuer le mieux possible les conséquences de son invalidité (ATF 113 V 28 consid. 4a et les références), en mettant à profit sa capacité de travail. Quant à la conclusion tendant à la prise en charge d’un médicament lui permettant de l’aider dans sa réadaptation professionnelle, force est de constater qu’une telle mesure n’est pas ouverte aux assurés âgés de plus de vingt ans (cf. art. 12 LAI).</w:t>
      </w:r>
    </w:p>
    <w:p>
      <w:r>
        <w:rPr>
          <w:b/>
        </w:rPr>
        <w:t>E. 10</w:t>
      </w:r>
    </w:p>
    <w:p>
      <w:r>
        <w:t>En tous points mal fondé, le recours ne peut être que rejeté.</w:t>
      </w:r>
    </w:p>
    <w:p>
      <w:r>
        <w:t>A/2246/2009 - 17/17 -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