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ATAS/56/2016 vom 27. Januar 2016</w:t>
      </w:r>
    </w:p>
    <w:p>
      <w:r>
        <w:t>GE Cour de justice, 2016-01-27, FR</w:t>
      </w:r>
    </w:p>
    <w:p>
      <w:r>
        <w:rPr>
          <w:b/>
        </w:rPr>
        <w:t xml:space="preserve">Quelle: </w:t>
      </w:r>
      <w:r>
        <w:t>https://mcp.opencaselaw.ch/entscheid/ge_gerichte_ATAS_56_2016</w:t>
      </w:r>
    </w:p>
    <w:p>
      <w:r>
        <w:t>FR: GE_GERICHTE ATAS/56/2016 du 27 janvier 2016</w:t>
      </w:r>
    </w:p>
    <w:p>
      <w:r>
        <w:t>IT: GE_GERICHTE ATAS/56/2016 del 27 gennaio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A/781/2015 - 11/19 -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du point de vue matériel, au vu des faits pertinents jusqu’à la décision du 2 février 2015, le droit éventuel aux prestations doit être examiné au regard des modifications de la LAI (révision 6a), dans la mesure de leur pertinence (ATF 130 V 445 et les références; voir également ATF 130 V 329). Cela étant, ces novelles n'ont pas amené de modifications substantielles en matière d'évaluation de l'invalidité (arrêt du Tribunal fédéral non publié I 249/05 du 11 juillet 2006 consid. 2.1 et Message concernant la modification de la loi fédérale sur l'assurance- invalidité du 22 juin 2005, FF 2005 p. 4322).</w:t>
      </w:r>
    </w:p>
    <w:p>
      <w:r>
        <w:rPr>
          <w:b/>
        </w:rPr>
        <w:t>E. 4</w:t>
      </w:r>
    </w:p>
    <w:p>
      <w:r>
        <w:t>Interjeté dans le délai et la forme prévus par la loi, le recours est recevable (art. 56 et 60 LPGA; art. 89B de la loi sur la procédure administrative du 12 septembre 1985 - [LPA-GE - E 5 10]).</w:t>
      </w:r>
    </w:p>
    <w:p>
      <w:r>
        <w:rPr>
          <w:b/>
        </w:rPr>
        <w:t>E. 5</w:t>
      </w:r>
    </w:p>
    <w:p>
      <w:r>
        <w:t>Le litige porte sur le droit du recourant à une rente d’invalidité, respectivement sur la question de savoir si, au vu de son état de santé, il dispose d’une capacité de travail résiduelle entière dans une activité adaptée dès le 31 octobre 2013.</w:t>
      </w:r>
    </w:p>
    <w:p>
      <w:r>
        <w:rPr>
          <w:b/>
        </w:rPr>
        <w:t>E. 6</w:t>
      </w:r>
    </w:p>
    <w:p>
      <w:r>
        <w:t>En vertu de l’art. 28 al. 1 LAI, l’assuré a droit à une rente entière s’il est invalide à 70% au moins, à un trois-quarts de rente s'il est invalide à 60% au moins, à une demi-rente s’il est invalide à 50% au moins, ou à un quart de rente s’il est invalide à 40% au moins. Aux termes de l’art. 8 al. 1er LPGA, est réputée invalidité l’incapacité de gain totale ou partielle qui est présumée permanente ou de longue durée. Selon l’art. 7 LPGA, est réputée incapacité de gain toute diminution de l'ensemble ou d'une partie des</w:t>
      </w:r>
    </w:p>
    <w:p>
      <w:r>
        <w:t>A/781/2015 - 12/19 -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consid. 3.1; arrêt du Tribunal fédéral des assurances I 786/04 du 19 janvier 2006 consid. 3.1). Dans un arrêt de principe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Une expertise psychiatrique est, en principe, nécessaire quand il s'agit de se prononcer sur l'incapacité de travail que les syndromes du type troubles somatoformes douloureux et affections psychosomatiques assimilées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w:t>
      </w:r>
    </w:p>
    <w:p>
      <w:r>
        <w:rPr>
          <w:b/>
        </w:rPr>
        <w:t>E. 8</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w:t>
      </w:r>
    </w:p>
    <w:p>
      <w:r>
        <w:t>A/781/2015 - 13/19 -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w:t>
      </w:r>
    </w:p>
    <w:p>
      <w:r>
        <w:t>A/781/2015 - 14/19 - du Tribunal fédéral 9C_581/2007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w:t>
      </w:r>
    </w:p>
    <w:p>
      <w:r>
        <w:rPr>
          <w:b/>
        </w:rPr>
        <w:t>E. 9</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Sont pertinents tous les faits dont l'existence peut influencer d'une manière ou d'une autre le jugement relatif à la prétention litigieuse (VSI 1994 p. 220 consid. 4a). Le devoir d'instruction s'étend jusqu'à ce que les faits nécessaires à l'examen des prétentions en cause soient suffisamment élucidés (arrêt du Tribunal fédéral 8C_667/2012 du</w:t>
      </w:r>
    </w:p>
    <w:p>
      <w:r>
        <w:rPr>
          <w:b/>
        </w:rPr>
        <w:t>E. 12</w:t>
      </w:r>
    </w:p>
    <w:p>
      <w:r>
        <w:t>Au vu de ce qui précède, le recours sera admis et la décision du 2 février 2015 sera annulée. Le recourant obtenant gain de cause, une indemnité de CHF 2’200.-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1'000.-.</w:t>
      </w:r>
    </w:p>
    <w:p>
      <w:r>
        <w:t>A/781/2015 - 19/19 -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