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ATAS/569/2025 vom 4. August 2025</w:t>
      </w:r>
    </w:p>
    <w:p>
      <w:r>
        <w:t>GE Cour de justice, 2025-08-04, FR</w:t>
      </w:r>
    </w:p>
    <w:p>
      <w:r>
        <w:rPr>
          <w:b/>
        </w:rPr>
        <w:t xml:space="preserve">Quelle: </w:t>
      </w:r>
      <w:r>
        <w:t>https://mcp.opencaselaw.ch/entscheid/ge_gerichte_ATAS_569_2025</w:t>
      </w:r>
    </w:p>
    <w:p>
      <w:r>
        <w:t>FR: GE_GERICHTE ATAS/569/2025 du 4 août 2025</w:t>
      </w:r>
    </w:p>
    <w:p>
      <w:r>
        <w:t>IT: GE_GERICHTE ATAS/569/2025 del 4 agosto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Le 1er janvier 2021 est entrée en vigueur la modification du 21 juin 2019 de la LPGA. Dans la mesure où le recours a été interjeté postérieurement au 1er janvier 2021, il est soumis au nouveau droit (art. 82a LPGA a contrario).</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A/2272/2023 - 7/16 -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w:t>
      </w:r>
    </w:p>
    <w:p>
      <w:r>
        <w:rPr>
          <w:b/>
        </w:rPr>
        <w:t>E. 4.4.1</w:t>
      </w:r>
    </w:p>
    <w:p>
      <w:r>
        <w:t>Les troubles présentés par l’expertisé font-ils notamment partie du tableau clinique typique d’un TCC ? 5. Causalité</w:t>
      </w:r>
    </w:p>
    <w:p>
      <w:r>
        <w:rPr>
          <w:b/>
        </w:rPr>
        <w:t>E. 5</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5.1</w:t>
      </w:r>
    </w:p>
    <w:p>
      <w:r>
        <w:t>Les atteintes constatées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w:t>
      </w:r>
    </w:p>
    <w:p>
      <w:r>
        <w:rPr>
          <w:b/>
        </w:rPr>
        <w:t>E. 5.2.2</w:t>
      </w:r>
    </w:p>
    <w:p>
      <w:r>
        <w:t>L’IRM du 23 mai 2017 et l’arrêt du suivi neurochirurgical intervenu de manière subséquence impliquent-ils que l’assuré ne présentait plus d’atteinte organique liée à l’accident ? 6. Limitations fonctionnelles</w:t>
      </w:r>
    </w:p>
    <w:p>
      <w:r>
        <w:rPr>
          <w:b/>
        </w:rPr>
        <w:t>E. 6</w:t>
      </w:r>
    </w:p>
    <w:p>
      <w:r>
        <w:t>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w:t>
      </w:r>
    </w:p>
    <w:p>
      <w:r>
        <w:t>A/2272/2023 - 8/16 - troubles somatiques d’autre part n’entre pas en ligne de compte (arrêt du Tribunal fédéral 8C_235/2020 du 15 février 2021 consid. 2.3 et les références).</w:t>
      </w:r>
    </w:p>
    <w:p>
      <w:r>
        <w:rPr>
          <w:b/>
        </w:rPr>
        <w:t>E. 6.1</w:t>
      </w:r>
    </w:p>
    <w:p>
      <w:r>
        <w:t>Indiquer les limitations fonctionnelles en relation avec chaque diagnostic.</w:t>
      </w:r>
    </w:p>
    <w:p>
      <w:r>
        <w:rPr>
          <w:b/>
        </w:rPr>
        <w:t>E. 6.1.1</w:t>
      </w:r>
    </w:p>
    <w:p>
      <w:r>
        <w:t>Dates d'apparition. 6.2.1 Constatez-vous une fatigue et une fatigabilité mentale, en particulier sur la base du bilan neuropsychologique, et si oui, quels sont leur impact sur la capacité de travail et les limitations fonctionnelles ? 6.2.2 Constatez-vous des vertiges et si oui, quels sont leur impact sur la capacité de travail et les limitations fonctionnelles ?</w:t>
      </w:r>
    </w:p>
    <w:p>
      <w:r>
        <w:t>A/2272/2023 - 14/16 - 6.2.3 Constatez-vous une anosmie, et si oui, quel est son impact sur la capacité de travail et les limitations fonctionnelles ? 6.2.4 Constatez-vous une hypersomnie et si oui, quel est son impact sur la capacité de travail et les limitations fonctionnelles ? 7. Capacité de travail</w:t>
      </w:r>
    </w:p>
    <w:p>
      <w:r>
        <w:rPr>
          <w:b/>
        </w:rPr>
        <w:t>E. 7</w:t>
      </w:r>
    </w:p>
    <w:p>
      <w:r>
        <w:t>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de causalité adéquate pourrait entrer en considération, il doit, avant de statuer définitivement sur ce dernier point, instruire ou faire instruire par l'assureur- accidents les questions de fait relatives à la nature de ces troubles (diagnostic, caractère invalidant) et à leur causalité naturelle (ATF 148 V 138 consid. 5.5).</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rPr>
          <w:b/>
        </w:rPr>
        <w:t>E. 7.2.1</w:t>
      </w:r>
    </w:p>
    <w:p>
      <w:r>
        <w:t>Si cette capacité de travail est seulement partielle, quelles sont les limitations fonctionnelles en rapport de causalité (au moins probable - probabilité de plus de 50 %) avec l’accident qui entrent en ligne de compte ? Depuis quelle date sont-elles présentes ?</w:t>
      </w:r>
    </w:p>
    <w:p>
      <w:r>
        <w:rPr>
          <w:b/>
        </w:rPr>
        <w:t>E. 7.2.2</w:t>
      </w:r>
    </w:p>
    <w:p>
      <w:r>
        <w:t>Depuis l'accident, quelle a été l’évolution des atteintes causées par cet évènement, des limitations y liées et de la capacité de travail ? Y a-t-il une amélioration ou une péjoration, et si oui, depuis quand ? 8. Traitement</w:t>
      </w:r>
    </w:p>
    <w:p>
      <w:r>
        <w:rPr>
          <w:b/>
        </w:rPr>
        <w:t>E. 8</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w:t>
      </w:r>
    </w:p>
    <w:p>
      <w:r>
        <w:t>A/2272/2023 - 9/16 - 2012 consid. 4.2 in SVR 2012 UV n° 23 p. 84; arrêt du Tribunal fédéral 8C_622/2015 du 25 août 2016 consid.3.3).</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8.5</w:t>
      </w:r>
    </w:p>
    <w:p>
      <w:r>
        <w:t>Les traitements médicaux dispensés après le 23 mai 2017 étaient-ils en rapport de causalité (au moins probable - probabilité de plus de 50 %) avec l’accident ? 9. Atteinte à l’intégrité</w:t>
      </w:r>
    </w:p>
    <w:p>
      <w:r>
        <w:t>A/2272/2023 - 15/16 -</w:t>
      </w:r>
    </w:p>
    <w:p>
      <w:r>
        <w:rPr>
          <w:b/>
        </w:rPr>
        <w:t>E. 9</w:t>
      </w:r>
    </w:p>
    <w:p>
      <w:r>
        <w:t>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115 V 403 consid. 5c/aa):</w:t>
      </w:r>
    </w:p>
    <w:p>
      <w:r>
        <w:t>A/2272/2023 - 10/16 -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9.1</w:t>
      </w:r>
    </w:p>
    <w:p>
      <w:r>
        <w:t>La personne expertisée présente-t-elle une atteinte à l’intégrité définitive, en lien avec les atteintes en rapport de causalité au moins probable (probabilité de plus de 50 %)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 10. Appréciation d'avis médicaux du dossier</w:t>
      </w:r>
    </w:p>
    <w:p>
      <w:r>
        <w:rPr>
          <w:b/>
        </w:rPr>
        <w:t>E. 10</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t>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t>A/2272/2023 - 11/16 -</w:t>
      </w:r>
    </w:p>
    <w:p>
      <w:r>
        <w:rPr>
          <w:b/>
        </w:rPr>
        <w:t>E. 10.1</w:t>
      </w:r>
    </w:p>
    <w:p>
      <w:r>
        <w:t>Comment vous déterminez-vous par rapport à l’expertise de la Clinique Romande de réadaptation du 2 août 2021 et les appréciations médicales des médecins traitants de l’expertisé, notamment s’agissant des diagnostics, de la causalité avec l’accident et de l’existence d’un substrat organique ? 11. Autres facteurs Suite à l’accident du 22 avril 2017 :</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 12. Quel est le pronostic ? 13. Des mesures de réadaptation professionnelle sont-elles envisageables ?</w:t>
      </w:r>
    </w:p>
    <w:p>
      <w:r>
        <w:rPr>
          <w:b/>
        </w:rPr>
        <w:t>E. 12</w:t>
      </w:r>
    </w:p>
    <w:p>
      <w:r>
        <w:t>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l’assurance ne se révèlent pas probantes (ATF 137 V 210 consid. 4.4.1.3).</w:t>
      </w:r>
    </w:p>
    <w:p>
      <w:r>
        <w:t>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13</w:t>
      </w:r>
    </w:p>
    <w:p>
      <w:r>
        <w:t>En l’occurrence, les parties contestent, chacune partiellement, la validité de l’expertise de la CRR.</w:t>
      </w:r>
    </w:p>
    <w:p>
      <w:r>
        <w:t>À cet égard, comme il a été relevé ci-avant, certaines observations des experts apparaissent effectivement contradictoires, notamment s’agissant du caractère incapacitant ou non d’un diagnostic et des troubles cognitifs en lien ou pas avec un substrat organique. Ceci explique que l’interprétation des parties diverge sur le sens qu’il convient d’y accorder.</w:t>
      </w:r>
    </w:p>
    <w:p>
      <w:r>
        <w:t>Les parties estiment, pour des motifs divergents, que la mise en place d’une nouvelle expertise se justifie. Le recourant, qui a contesté notamment la présence de facteurs constitutionnels liés à sa personnalité, l’absence de substrat organique évoquée par les experts et l’absence de limitation neurologique, a conclu, subsidiairement, à ce qu’une expertise médicale judiciaire soit ordonnée. L’intimée estime, pour sa part, que l’évaluation psychiatrique réalisée par la CRR dans le cadre de l’expertise n’est pas suffisamment complète, détaillée, et motivée pour se voir reconnaître une pleine valeur probante s’agissant des atteintes psychiatriques présentées par le recourant.</w:t>
      </w:r>
    </w:p>
    <w:p>
      <w:r>
        <w:t>A/2272/2023 - 12/16 -</w:t>
      </w:r>
    </w:p>
    <w:p>
      <w:r>
        <w:t>La lecture de l’évaluation de la CRR relève des incohérences qui ne permettent pas, effectivement, de statuer sur le cas d’espèce de manière conforme à la jurisprudence rappelée ci-avant.</w:t>
      </w:r>
    </w:p>
    <w:p>
      <w:r>
        <w:t>Il s’avère ainsi nécessaire de mettre en œuvre une expertise judiciaire sur le plan neurologique, psychiatrique et neuropsychologique.</w:t>
      </w:r>
    </w:p>
    <w:p>
      <w:r>
        <w:rPr>
          <w:b/>
        </w:rPr>
        <w:t>E. 14</w:t>
      </w:r>
    </w:p>
    <w:p>
      <w:r>
        <w:t>Faire toutes autres observations ou suggestions utiles F. Invite les experts à faire une appréciation consensuelle du cas s’agissant de toutes les problématiques ayant des interférences entre-elles, notamment l’appréciation de la capacité de travail résiduelle.</w:t>
      </w:r>
    </w:p>
    <w:p>
      <w:r>
        <w:t>A/2272/2023 - 16/16 - G. Invite les experts à déposer leur rapport en trois exemplaires dans les meilleurs délais auprès de la chambre de céans. H. Réserve le fond ainsi que le sort des frais jusqu’à droit jugé au fond.</w:t>
      </w:r>
    </w:p>
    <w:p>
      <w:r>
        <w:t>La greffière</w:t>
      </w:r>
    </w:p>
    <w:p>
      <w:r>
        <w:t>Diana ZIERI</w:t>
      </w:r>
    </w:p>
    <w:p>
      <w:r>
        <w:t>La présidente suppléante</w:t>
      </w:r>
    </w:p>
    <w:p>
      <w:r>
        <w:t>Aliénor WINIGER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