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ATAS/569/2019 vom 25. Juni 2019</w:t>
      </w:r>
    </w:p>
    <w:p>
      <w:r>
        <w:t>GE Cour de justice, 2019-06-25, FR</w:t>
      </w:r>
    </w:p>
    <w:p>
      <w:r>
        <w:rPr>
          <w:b/>
        </w:rPr>
        <w:t xml:space="preserve">Quelle: </w:t>
      </w:r>
      <w:r>
        <w:t>https://mcp.opencaselaw.ch/entscheid/ge_gerichte_ATAS_569_2019</w:t>
      </w:r>
    </w:p>
    <w:p>
      <w:r>
        <w:t>FR: GE_GERICHTE ATAS/569/2019 du 25 juin 2019</w:t>
      </w:r>
    </w:p>
    <w:p>
      <w:r>
        <w:t>IT: GE_GERICHTE ATAS/569/2019 del 25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par une recourante qui a un intérêt digne de protection à la reconnaissance de son droit à une rente d’invalidité, étant précisé que le recours ne porte pas sur la simple constatation exacte du degré d’invalidité (cf. arrêt du Tribunal fédéral 9C_345/2008 du 25 juillet 2008 consid. 2.3), le recours est recevable (art. 56 ss LPGA et 62 ss LPA).</w:t>
      </w:r>
    </w:p>
    <w:p>
      <w:r>
        <w:rPr>
          <w:b/>
        </w:rPr>
        <w:t>E. 4</w:t>
      </w:r>
    </w:p>
    <w:p>
      <w:r>
        <w:t>Il convient en premier lieu de déterminer l’objet du présent litige. a. En vertu de l’art. 53 al. 3 LPGA, l’assureur ne peut reconsidérer une décision contre laquelle un recours a été formé que jusqu’à l’envoi de son préavis à l’autorité de recours. L’art. 53 al. 3 LPGA règle le cas particulier de la reconsidération pendente lite d'une décision ou d'une décision sur opposition contre laquelle un recours a été formé (ATF 136 V 2 consid. 2.5 ; arrêt du Tribunal fédéral 8C_18/2009 du 31 juillet 2009 consid. 3 et les références). A contrario, si l'assureur a déjà envoyé sa réponse, il ne peut plus reconsidérer sa décision. Une décision pendente lite rendue postérieurement à l'échéance du délai de réponse est donc nulle et n'a valeur que d'une simple proposition au juge (cf. arrêt du Tribunal fédéral 8C_1/2011 du</w:t>
      </w:r>
    </w:p>
    <w:p>
      <w:r>
        <w:rPr>
          <w:b/>
        </w:rPr>
        <w:t>E. 5</w:t>
      </w:r>
    </w:p>
    <w:p>
      <w:r>
        <w:t>septembre 2011 consid. 1.1 et les références).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w:t>
      </w:r>
    </w:p>
    <w:p>
      <w:r>
        <w:t>A/501/2018 - 14/26 - que celui-ci doive attaquer le nouvel acte administratif (ATF 127 V 228 2b/bb ; arrêt du Tribunal fédéral des assurances I 115/06 du 15 juin 2007 consid. 2.1). b. En l’occurrence, la recourante conclut notamment à l’octroi d’une rente entière d’invalidité dès le 1er décembre 2014. Par écriture du 16 octobre 2018, l’intimé a accepté de reconnaître à la recourante une incapacité de travail de 100 % dans toute activité dès le 1er avril 2017, respectivement de lui accorder une rente entière d’invalidité dès le 1er avril 2018. À cet effet, il se base sur l’avis du SMR du</w:t>
      </w:r>
    </w:p>
    <w:p>
      <w:r>
        <w:rPr>
          <w:b/>
        </w:rPr>
        <w:t>E. 8</w:t>
      </w:r>
    </w:p>
    <w:p>
      <w:r>
        <w:t>Le juge des assurances sociales fonde sa décision, sauf dispositions contraires de la loi, sur les faits qui, faute d’être établis de manière irréfutable, apparaissent comme</w:t>
      </w:r>
    </w:p>
    <w:p>
      <w:r>
        <w:t>A/501/2018 - 18/26 -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le cadre de la procédure d’instruction complémentaire qui a suivi l’arrêt de renvoi du 16 avril 2013, l’intimé a mis en œuvre une expertise rhumatologique, puis une expertise psychiatrique. La recourante conteste la valeur probante de ces deux expertises. En premier lieu, il convient d’examiner la valeur probante du rapport d’expertise rhumatologique du 23 mai 2014, étant précisé que la recourante reproche à l’expert de s’être basé sur des IRM réalisées de 2009 à 2011 alors qu’elle souffre de troubles dégénératifs et de ne pas expliquer pourquoi il considère que ses plaintes sont infondées. En l’espèce, sur le plan physique, selon les divers rapports du Dr C______ qui suit la recourante depuis 2003, celle-ci souffre d’une lésion de la coiffe des rotateurs à droite qui a fait l’objet d’une acromioplastie en juin 2009 compliquée par une capsulite rétractile et la persistance de signes de conflit sous-acromial. Elle présente également depuis le printemps 2010 des douleurs à l’épaule gauche – exacerbées à partir de février 2011 – et à la colonne cervicale, puis depuis octobre 2010 des douleurs à la main droite dues à une ténosynovite du fléchisseur des troisième et quatrième doigts. Enfin, depuis février 2011, elle souffre aux coudes d’une épicondylite et d’une épitrochléite, ainsi que de douleurs lombaires dans le cadre de discopathies de la colonne lombaire associées à une périarthrite de la hanche. Dans son rapport d’expertise, le Dr D______ confirme pour l’essentiel les diagnostics posés par le Dr C______, à l’exception de ceux de ténosynovite à la main droite, d’épicondylite et d’épitrochléite aux coudes, ainsi que de périarthrite de la hanche dont il ne fait pas état. Il retient le caractère incapacitant d’une altération douloureuse de la mobilité des épaules dans le cadre d’un status après chirurgie de l’épaule droite en juin 2009 et d’une tendinopathie calcifiante de l’épaule gauche. Il considère que les rachialgies chroniques ainsi que le status après cure de doigts à ressaut et synovectomie n’ont pas d’incidence sur la capacité de travail. Il conclut à une incapacité de travail de 100 % dans l’activité habituelle d’ouvrière et de 0 % dans une activité adaptée aux limitations fonctionnelles avec toutefois une diminution de rendement de 10 %. Il explique son appréciation de la capacité de travail par le fait que les plaintes de la recourante ne correspondent pas à ses constatations cliniques qui montrent essentiellement des signes de surcharge fonctionnelle témoignant d’un syndrome douloureux chronifié persistant qui parasite l’examen. Il s’écarte de l’appréciation de la capacité de travail de 50 %</w:t>
      </w:r>
    </w:p>
    <w:p>
      <w:r>
        <w:t>A/501/2018 - 19/26 - dans une activité adaptée faite par le Dr C______, au motif que celle-ci ne décrit aucune diminution d’amplitude des mains et du rachis qui permette de retenir une diminution de la capacité de travail de 50 % dans une activité adaptée. Dans son expertise, le Dr D______ explique pourquoi il s’écarte des conclusions du Dr C______ notamment s’agissant de l’appréciation de la capacité de travail, eu égard à l’absence de descriptif de limitations d’amplitude des mains et du rachis. Toutefois, dans son rapport du 8 janvier 2013, le Dr C______ fait état dans le courant de l’année 2011 d’une aggravation des douleurs aux épaules avec conflit sous-acromial des deux côtés, confirmée par des éléments objectifs, à savoir à droite, une limitation plus marquée des mobilisations passives en élévation abduction, une mobilité interne nettement diminuée, et à gauche, une limitation active de la mobilité en abduction-élévation. Or l’expert ne précise pas si ces éléments permettent de retenir une limitation de la capacité de travail de 50 % dans une activité adaptée en février 2011, respectivement si l’état de santé de la recourante a évolué favorablement depuis 2011 et de quelle façon. Il n’explique pas davantage pourquoi, il ne retient pas les diagnostics de périarthrite de la hanche, ni d’épicondylite et d’épitrochléite aux coudes. Par conséquent, son rapport d’expertise est lacunaire. Pour le reste, son rapport d’expertise prend en compte l’anamnèse, les plaintes de la recourante et son examen clinique. De plus, il concorde pour l’essentiel avec les diagnostics retenus par le Dr C______. Toutefois, le nouveau diagnostic de maladie de Sjögren posé en avril 2017 justifie de vérifier si les autolimitations constatées par l’expert lors de son examen du 21 mai 2014 ne sont pas explicables en réalité par un début méconnu de cette maladie qui est rare et ne peut être diagnostiquée que par des examens poussés. En effet, si le diagnostic de cette maladie est posé depuis avril 2017, aucun rapport médical ne donne d’explications sur son étiologie et sur l’existence ou non de symptômes précurseurs, notamment un état douloureux latent. Aucun rapport médical ne précise si le syndrome douloureux de la recourante constaté lors de l’examen de l’expert à fin mai 2014 est en lien avec cette maladie, respectivement si les limitations de mouvements constatées par l’expert sont réellement des autolimitations ou s’il ne s’agit pas d’un état articulaire inflammatoire douloureux symptomatique de la maladie de Sjögren. En effet, il n’est pas exclu que la recourante présente en lien avec cette maladie, respectivement avec les autres troubles diagnostiqués, une incapacité de travail partielle, voire entière, dans toute activité déjà avant le 1er avril 2017. Par conséquent, faute d’être renseignée sur ces divers éléments, la chambre de céans n’est pas en mesure de statuer en pleine connaissance de cause sur la capacité de travail de la recourante en lien avec ses troubles physiques. Dès lors, il y a lieu de procéder à une instruction médicale complémentaire sur ces divers points.</w:t>
      </w:r>
    </w:p>
    <w:p>
      <w:r>
        <w:rPr>
          <w:b/>
        </w:rPr>
        <w:t>E. 10</w:t>
      </w:r>
    </w:p>
    <w:p>
      <w:r>
        <w:t>Reste à examiner la valeur probante de l’expertise psychiatrique du Dr F______ du 8 septembre 2016.</w:t>
      </w:r>
    </w:p>
    <w:p>
      <w:r>
        <w:t>A/501/2018 - 20/26 -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w:t>
      </w:r>
    </w:p>
    <w:p>
      <w:r>
        <w:t>A/501/2018 - 21/26 -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En l’espèce, la recourante conteste la valeur probante de l’expertise eu égard à ses nombreux jugements de valeur et sous-entendus, au fait que son accent très important a rendu ses déclarations peu compréhensibles pour l’expert en l’absence d’un interprète en langue tagalog et que l’expert n’a pas tenu compte de ses difficultés à parler de son ressenti et de ses souffrances psychiques. Sur le plan psychique, le Dr C______ a adressé la recourante à la Dresse E______ le 8 décembre 2014 en raison de la suspicion d’un syndrome douloureux somatoforme. Selon le rapport de cette spécialiste du 24 novembre 2015, il n’est pas possible d’évoquer un syndrome douloureux somatoforme tant qu’un substrat organique à l’origine de la symptomatologie douloureuse ne peut pas être exclu. À l’examen clinique, elle constate un manque de confiance en soi, des oublis fréquents, un manque d’énergie et de motivation, ainsi que l’absence de capacité à mobiliser ses ressources psychiques. Elle diagnostique avec effet sur la capacité de travail, un trouble anxio-dépressif mixte présent depuis 2006 et un probable syndrome douloureux somatoforme persistant depuis plusieurs années. Elle expose que depuis 2006, la recourante présente des difficultés psychologiques de type anxiété à la suite de certaines tensions apparues à son travail. Elle retient une capacité de travail de 50 % dans toute activité. Dans son rapport d’expertise du 8 septembre 2016, le Dr F______ ne pose aucun diagnostic psychiatrique même non incapacitant. À l’anamnèse, il ne décèle aucune symptomatologie dépressive même légère. Quant aux plaintes de la recourante, elles évoquent tout au plus une dysthymie. S’agissant de la symptomatologie anxieuse, la seule répercussion décelable a trait aux plaintes de la recourante concernant la qualité de son sommeil à cause de l’anxiété. Ces diverses constatations et conclusions de l’expert ne sont pas plausibles au degré de la vraisemblance prépondérante. En effet, si la recourante ne présente aucun diagnostic psychiatrique comme le soutient le Dr F______, il est incompréhensible que la recourante suive un traitement à base de soins psychiatriques et psychothérapeutiques intégrés auprès de la Dresse E______ depuis décembre 2014, soit depuis près de deux ans au moment de l’expertise, ainsi qu’un traitement à base d’antidépresseur. De plus, les constatations cliniques de l’expert ne correspondent pas aux restrictions psychiques constatées par la psychiatre traitante, qui suit la recourante depuis une année au moment de l’établissement de son rapport et a donc acquis le temps nécessaire pour poser un diagnostic fiable. À cet égard, il est</w:t>
      </w:r>
    </w:p>
    <w:p>
      <w:r>
        <w:t>A/501/2018 - 22/26 - étonnant que, face à de telles constatations divergentes, il n’ait pas jugé utile de s’entretenir avec la psychiatre traitante avant de finaliser son rapport d’expertise, alors que les observations de celles-ci auraient pu lui permettre d’apprécier plus précisément la question des troubles mnésiques, du manque de confiance en soi, de l’incapacité à mobiliser ses ressources psychiques, ainsi que de la perte d’énergie et de motivation, constatés par la Dresse E______ lors de ses divers examens. De plus, bien qu’il considère que des difficultés dans la pensée abstraite ne soient pas exclues, il n’en tient pas compte. Par conséquent, le rapport d’expertise est incomplet, voire contradictoire. Par ailleurs, ainsi que le relève la recourante, le rapport d’expertise du Dr F______ ne se borne pas à relater les plaintes de la recourante, ses constatations cliniques et ses conclusions, mais il comporte bons nombres de tournures à connotation subjective. Ainsi, il précise que la mémoire à long terme ne peut pas être évaluée, les déclarations de l’assurée étant « manifestement contrefaites ». L’expert relève également que le discours de la recourante comporte de « nombreuses contradictions d’une phrase à l’autre ». D’après le médecin, le fait que la recourante apporte des soins à son apparence, se déclare heureuse lorsqu’elle écoute de la musique ou est en présence de ses petits-enfants et n’a pas d’attentes envers l’intimé est incompatible avec un trouble dépressif. Il précise qu’il convient « de garder à l’esprit le fait que [la recourante] préfère son activité de grand-mère à n’importe quelles autres et qu’elle a l’habitude de se montrer pleine de bonne volonté avant de devenir oppositionnelle ». D’après l’expert, la recourante « livre une histoire de vie qui est en soi peu crédible avec de nombreuses contradictions », alors que l’étude du dossier permet de constater d’autres entorses à la vérité qu’il met en exergue en procédant à un examen de l’histoire de la recourante véritablement à charge de celle-ci, en confondant son activité d’expert avec celle d’un procureur et en ne tenant compte à aucun moment des troubles de la mémoire constatés par la Dresse E______. Enfin, ses explications quant à l’absence de critères de somatisation partent de l’hypothèse que la recourante est une simulatrice, ce qui est non seulement un jugement de valeur, mais une hypothèse erronée. En effet, l’expert semble ignorer que le diagnostic de trouble somatoforme douloureux n’est posé que si des troubles objectivables ne sont pas diagnostiqués, de sorte que par définition lorsqu’un tel diagnostic est retenu les plaintes subjectives ne correspondent pas aux constats objectifs, sans que les autolimitations constatées ne puissent être qualifiées de simulation. Or, dans le cas du trouble somatoforme douloureux, la manifestation clinique consiste en plaintes douloureuses diffuses et il n'existe pas de pathogenèse claire et fiable pouvant expliquer l'origine des douleurs exprimées (cf. ATF 132 V 65 consid. 4.1). Dès lors, l’attitude de l’expert ne procède pas d’un examen objectif de la situation médicale et ne permet pas de reconnaître une valeur probante à son rapport d’expertise. On peut en effet attendre d'un expert médecin, dont la mission diffère clairement de celle du médecin traitant, qu'il procède à un examen objectif de la situation médicale de la personne expertisée, qu'il rapporte les constatations qu'il a</w:t>
      </w:r>
    </w:p>
    <w:p>
      <w:r>
        <w:t>A/501/2018 - 23/26 - faites de façon neutre et circonstanciée, et que les conclusions auxquelles il aboutit s'appuient sur des considérations médicales et non sur des jugements de valeur.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(arrêts du Tribunal fédéral 9C_603/2009 du 2 février 2010 consid. 3.3 et les références, in SVR 2010 IV n° 58 p. 177 et 9C_76/2011 du 24 août 2011 consid. 5.2.1). Au demeurant, en tant que le rapport de la Dresse E______ du 24 novembre 2015 n’examine pas le caractère incapacitant des diagnostics psychiques posés au regard de la grille d’analyse requise par la jurisprudence, son rapport est incomplet et n’a par conséquent pas non plus de valeur probante. Compte tenu de ce qui précède, la chambre de céans n’est pas en mesure de statuer sur le caractère incapacitant des troubles psychiques de la recourante, de sorte qu’il y a lieu de procéder à une instruction complémentaire par la mise en œuvre d’une nouvelle expertise psychiatrique.</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l’espèce, force est de constater que l’intimé a violé son obligation d’instruire d’office et de recueillir les renseignements dont il a besoin pour trancher (cf. art. 43 al. 1 LPGA). Sur le plan rhumatologique, il s’est borné à inviter la recourante à lui transmettre de nouvelles pièces médicales sans requérir un nouveau rapport du Dr C______, alors qu’il savait qu’une nouvelle IRM était prévue et que l’intéressée souffrait d’oublis. Quant au plan psychique, le SMR était en mesure de constater, à</w:t>
      </w:r>
    </w:p>
    <w:p>
      <w:r>
        <w:t>A/501/2018 - 24/26 - la lecture du rapport d’expertise du Dr F______, qu’il ne respectait pas les lignes directrices de qualité des expertises psychiatriques dans le domaine de l'assurance- invalidité émises par la Société suisse de psychiatrie et psychothérapie, respectivement qu’il n’avait pas de valeur probante. Au vu de l’absence de rapports médicaux fiables quant à la maladie de Sjögren et quant aux troubles psychiques, il convient de renvoyer le dossier à l’intimé au sens des considérants pour qu’il mette en œuvre une nouvelle expertise bidisciplinaire rhumatologique et psychiatrique afin de compléter l’instruction sur les troubles inflammatoires, sur l’évolution de l’incapacité de travail de septembre 2010 à fin mars 2017 en lien avec les troubles organiques et sur l’effet incapacitant de l’éventuel trouble somatoforme douloureux et des autres troubles psychiques au regard de la grille d’analyse du Tribunal fédéral. Ce renvoi rend superflue l’analyse des autres griefs soulevés par la recourante.</w:t>
      </w:r>
    </w:p>
    <w:p>
      <w:r>
        <w:rPr>
          <w:b/>
        </w:rPr>
        <w:t>E. 13</w:t>
      </w:r>
    </w:p>
    <w:p>
      <w:r>
        <w:t>La recourante requiert dans sa réplique l’audition de ses médecins traitants.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 ATF 130 II 425 consid. 2 ; arrêt du Tribunal fédéral 8C_42/2015 du 29 mai 2015 consid. 5.1). Une telle manière de procéder ne viole pas le droit d'être entendu selon l'art. 29 al. 2 Cst. (ATF 136 I 229 consid. 5.3 ; ATF 124 V 90 consid. 4b ; ATF 122 V 157 consid. 1d). En l’espèce, l’audition sollicitée par la recourante de la Dresse E______ et du Dr C______ ont pour but de démontrer que son état de santé et sa capacité de travail ne se sont pas améliorés entre septembre 2010 et avril 2017. Au vu de l’appréciation que fait la chambre de céans des expertises du Dr D______ et du Dr F______ servant de base à la décision litigieuse, par appréciation anticipée des preuves, il n’y a pas lieu de procéder à l’audition requise par la recourante dès lors qu’elle n’est pas susceptible de modifier l’issue du litige.</w:t>
      </w:r>
    </w:p>
    <w:p>
      <w:r>
        <w:rPr>
          <w:b/>
        </w:rPr>
        <w:t>E. 14</w:t>
      </w:r>
    </w:p>
    <w:p>
      <w:r>
        <w:t>Au vu de ce qui précède, le recours sera admis, la décision du 12 janvier 2018 sera annulée et le dossier sera renvoyé à l’intimé pour mise en œuvre d’une expertise bidisciplinaire rhumatologique et psychiatrique au sens des considérants.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Eu égard au sort du recours, il y a lieu de condamner l’intimé au paiement d'un émolument de CHF 200.- (art. 69 al. 1bis LAI). * * * * * *</w:t>
      </w:r>
    </w:p>
    <w:p>
      <w:r>
        <w:t>A/501/2018 - 25/26 -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