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ATAS/569/2018 vom 19. Juni 2018</w:t>
      </w:r>
    </w:p>
    <w:p>
      <w:r>
        <w:t>GE Cour de justice, 2018-06-19, FR</w:t>
      </w:r>
    </w:p>
    <w:p>
      <w:r>
        <w:rPr>
          <w:b/>
        </w:rPr>
        <w:t xml:space="preserve">Quelle: </w:t>
      </w:r>
      <w:r>
        <w:t>https://mcp.opencaselaw.ch/entscheid/ge_gerichte_ATAS_569_2018</w:t>
      </w:r>
    </w:p>
    <w:p>
      <w:r>
        <w:t>FR: GE_GERICHTE ATAS/569/2018 du 19 juin 2018</w:t>
      </w:r>
    </w:p>
    <w:p>
      <w:r>
        <w:t>IT: GE_GERICHTE ATAS/569/2018 del 19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mai 2016, au motif que la société avait résilié le contrat de travail de l’intéressé le 23 août 2016 avec effet au 30 septembre 2016.</w:t>
      </w:r>
    </w:p>
    <w:p>
      <w:r>
        <w:rPr>
          <w:b/>
        </w:rPr>
        <w:t>E. 5</w:t>
      </w:r>
    </w:p>
    <w:p>
      <w:r>
        <w:t>Aux termes de l'art. 7 LACI, pour prévenir et combattre le chômage, l’assurance fournit des contributions destinées au financement : a. d’un service efficace de conseil et de placement; b. de mesures relatives au marché du travail en faveur des assurés; c. d’autres mesures régies par la présente loi. Elle fournit les prestations suivantes, à savoir l’indemnité de chômage (let. a), l’indemnité en cas de réduction de l’horaire de travail (let. c), l’indemnité en cas d’intempéries (let. d) et l’indemnité en cas d’insolvabilité de l'employeur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w:t>
      </w:r>
    </w:p>
    <w:p>
      <w:r>
        <w:t>A/4542/2017 - 7/14 -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t>A/4542/2017 - 8/14 -</w:t>
      </w:r>
    </w:p>
    <w:p>
      <w:r>
        <w:rPr>
          <w:b/>
        </w:rPr>
        <w:t>E. 6</w:t>
      </w:r>
    </w:p>
    <w:p>
      <w:r>
        <w:t>Selon l'art. 337 al. 1 CO, l'employeur et le travailleur peuvent résilier immédiatement le contrat en tout temps pour de justes motifs ;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 127 III 351 consid. 4a p. 354 ; arrêt du Tribunal fédéral 4A_137/2014 du 10 juin 2014). Les justes motifs doivent être invoqués sans tarder sous peine de forclusion (ATF 112 II 41; ATF 123 III 86).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a conclu, dans cet arrêt, que les griefs d’arrivées tardives, formés à l’encontre de l’employé n’étaient pas propres à rompre le rapport de confiance entre</w:t>
      </w:r>
    </w:p>
    <w:p>
      <w:r>
        <w:t>A/4542/2017 - 9/14 - les parties jusqu’à l’issue du délai de préavis de congé de deux mois (arrêt du Tribunal fédéral 4C.403/2004 du 1er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 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 dessous). Le travailleur n'a ni à protester contre le licenciement injustifié, ni à continuer à offrir ses services (arrêt du Tribunal fédéral 4A_372/2016 du 2 février 2017).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ATAS/61/2016 du 26 janvier 2016 consid. 11; ATAS/102/2016 du 4 février 2016 consid. 7; ATAS/158/2016 du 1er mars 2016 consid. 13).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t>A/4542/2017 - 10/14 -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a. En l’espèce, il n’est pas contesté que la société a résilié le contrat de travail de l’intéressé le 23 août 2016 avec effet au 30 septembre 2016, soit durant les trois mois suivant la fin de la mesure. L’OCE, constatant que la société avait mis fin au contrat de travail de l’intéressé dans les trois mois suivant la période d’initiation, a révoqué sa décision du 4 mai 2016. Il y a lieu de constater que l’OCE est fondé à agir de la sorte, pour autant que la société n’ait pas invoqué de justes motifs (ATF 126 V 42). b. Il convient à ce stade d’examiner si les motifs économiques allégués par la société constituent de justes motifs de résiliation au sens de l’art. 337 CO. Celle-ci fait en effet valoir que le client pour lequel l’intéressé effectuait sa mission avait résilié son mandat pour le 31 août 2016, de sorte que la poursuite des rapports de travail avec ce dernier n’était économiquement pas supportable.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w:t>
      </w:r>
    </w:p>
    <w:p>
      <w:r>
        <w:t>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w:t>
      </w:r>
    </w:p>
    <w:p>
      <w:r>
        <w:t>A/4542/2017 - 11/14 -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La loi ne prévoit toutefois aucune exception au principe susmentionné, même lorsque l'employeur doit renoncer au service d'un employé pour des raisons économiques (ATAS/1268/2009). Au vu de ce qui précède, force est de constater, d’une part, que la résiliation n’est pas intervenue avec effet immédiat et, d’autre part, que les difficultés économiques de l’entreprise ne constituent pas de justes motifs au sens de l’art. 337 CO.</w:t>
      </w:r>
    </w:p>
    <w:p>
      <w:r>
        <w:rPr>
          <w:b/>
        </w:rPr>
        <w:t>E. 9</w:t>
      </w:r>
    </w:p>
    <w:p>
      <w:r>
        <w:t>a. Dans un autre moyen, la société invoque la protection de sa bonne foi. Elle considère que les conditions sont remplies dès lors que son directeur général avait pris contact avec deux collaborateurs de l’OCE, lesquels lui avaient certifié qu’il y avait là justes motifs et que la société n’aurait pas à rembourser les allocations versées. Un troisième collaborateur de l’OCE s’était également dit étonné de la décision de révocation.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Mme D______ a été entendue par la chambre de céans le 24 avril 2018. Elle a expliqué qu’elle était référente CII (Collaboration Inter-Institutionnelle) à 50% et conseillère en personnel à 40%, et qu’elle fonctionnait en binôme, avec M. F______, lequel consacrait par ailleurs la moitié de son temps aux AIT. Elle a ainsi précisé que si celui-ci était absent, ses propres coordonnées étaient communiquées à la personne qui appelait, de sorte qu’il était possible que quelqu’un puisse avoir cherché à la joindre pour lui demander des informations sur les AIT, en l’absence de M. F______. Elle a toutefois affirmé qu’elle ne se souvenait pas avoir reçu un appel téléphonique de la part de quelqu’un de la société. Elle a ajouté qu’« en 2016, si une question sur les AIT m’avait été posée, je ne serais pas entrée en matière, j’aurais expliqué que le sujet n’était pas de ma compétence et j’aurais communiqué le numéro de téléphone de l’équipe AIT ».</w:t>
      </w:r>
    </w:p>
    <w:p>
      <w:r>
        <w:t>A/4542/2017 - 12/14 - Bien qu’elle ait expliqué que « je ne prends en principe aucune note particulière, sauf si le dossier est actif et que je juge que ce qui s’est dit peut être utile à mon collègue en charge du dossier », il s’avère qu’elle a rédigé un e-mail le 16 août 2016 à l’attention de l’équipe AIT, aux termes duquel « le directeur de la société a engagé en avril dernier l’intéressé sous l’AIT. J’ai reçu son appel cet après-midi, en l’absence de Jean-Pierre. II souhaite pouvoir échanger rapidement avec un référent AIT, car son entreprise se retrouve dans une situation économique difficile et ils ne vont vraisemblablement pas pouvoir maintenir l’engagement du candidat. L’annonce du licenciement est prévue pour la fin de ce mois. Je vous remercie de prendre contact directement avec le directeur de la société au n°… afin qu’il puisse vous expliquer la situation ». d. M. E______ a également été entendu le même jour. Il a précisé qu’« en 2016, j’étais référent AIT. Je le suis resté deux ans, depuis 2014. Je crois me souvenir que j’ai démissionné en septembre 2016 ». Il a indiqué qu’« à mon avis, un conseiller en personnel, en 2016, devait pouvoir répondre à des questions basiques concernant l’AIT, indiquer, par exemple, quels documents étaient nécessaires. Il relayait ensuite à l’équipe AIT. Pour des questions plus précises, il devait renvoyer la personne à l’équipe AIT. Nous étions 3 référents AIT, dont M. F______ et moi- même. M. F______ devait être absent, ce qui explique que j’aurais moi-même appelé le directeur de la société à la suite de l’e-mail de Mme D______. Je ne me souviens pas de cet appel téléphonique ». e. Il résulte de ces deux témoignages que les appels téléphoniques ont bel et bien eu lieu. Le courriel adressé par Mme D______ à l’équipe des référents le 16 août 2016 vient toutefois confirmer qu’elle s’est bornée à transmettre la demande du directeur de la société aux membres de l’équipe AIT et à leur communiquer son numéro de téléphone en les invitant à prendre contact avec lui. Cette démarche correspond à la description qu’elle a donnée de la réaction qu’elle devait en principe respecter en recevant ce genre d’appel téléphonique, étant rappelé qu’en 2016, elle ne s’occupait pas d’AIT. On ne peut dès lors retenir qu’elle ait donné des informations de nature à violer les règles de la bonne foi de l’administration envers les particuliers. Il apparaît en revanche du témoignage de M. E______ qu’il est possible qu’il ait répondu plus précisément à des questions posées en matière d’AIT. Il ne se souvient cependant pas avoir eu cet entretien téléphonique en particulier, et, partant, de ce qui s’y est dit. La question de savoir quel type de renseignement il a pu donner au directeur peut toutefois rester ouverte, dans la mesure où le directeur a lui-même déclaré que « M. E______ a terminé l’entretien en disant que c’est la caisse de chômage qui décidait et qui s’occupait, le cas échéant, du remboursement ». Force est ainsi de constater que M. E______ lui a clairement indiqué que seule la caisse de chômage décidait.</w:t>
      </w:r>
    </w:p>
    <w:p>
      <w:r>
        <w:t>A/4542/2017 - 13/14 - La chambre de céans considère, au vu des circonstances du cas d’espèce, que les conditions cumulatives de la protection de la bonne foi de la société ne sont pas remplies.</w:t>
      </w:r>
    </w:p>
    <w:p>
      <w:r>
        <w:rPr>
          <w:b/>
        </w:rPr>
        <w:t>E. 10</w:t>
      </w:r>
    </w:p>
    <w:p>
      <w:r>
        <w:t>L’obligation de restituer les AIT en cas de résiliation du contrat avant la fin de la mesure, ou dans les trois mois suivants, est par ailleurs expressément rappelée au chiffre 6 du formulaire de la demande, dûment signée par la société le 15 avril 2016, et dans la décision d’AIT du 4 mai 2016. Selon la jurisprudence, cette disposition de la formule de confirmation de l'employeur relative à l'initiation au travail est une clause accessoire au contrat de travail, laquelle prime tout accord contenant des clauses contraires. La société a ainsi été dûment informée des conditions auxquelles l'octroi de l'AIT était subordonné (ATF 126 V 42). La société s’est engagée, en signant le formulaire « demande AIT », à employer l'employé pendant une durée minimale correspondant à la durée de l'AIT plus un délai de trois mois, sous réserve d'une résiliation pour justes motifs au sens de l'art. 337 CO.</w:t>
      </w:r>
    </w:p>
    <w:p>
      <w:r>
        <w:rPr>
          <w:b/>
        </w:rPr>
        <w:t>E. 11</w:t>
      </w:r>
    </w:p>
    <w:p>
      <w:r>
        <w:t>Aussi le recours est-il rejeté.</w:t>
      </w:r>
    </w:p>
    <w:p>
      <w:r>
        <w:t>A/4542/2017 - 14/14 -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