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ATAS/569/2011 vom 31. Mai 2011</w:t>
      </w:r>
    </w:p>
    <w:p>
      <w:r>
        <w:t>GE Cour de justice, 2011-05-31, FR</w:t>
      </w:r>
    </w:p>
    <w:p>
      <w:r>
        <w:rPr>
          <w:b/>
        </w:rPr>
        <w:t xml:space="preserve">Quelle: </w:t>
      </w:r>
      <w:r>
        <w:t>https://mcp.opencaselaw.ch/entscheid/ge_gerichte_ATAS_569_2011</w:t>
      </w:r>
    </w:p>
    <w:p>
      <w:r>
        <w:t>FR: GE_GERICHTE ATAS/569/2011 du 31 mai 2011</w:t>
      </w:r>
    </w:p>
    <w:p>
      <w:r>
        <w:t>IT: GE_GERICHTE ATAS/569/2011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w:t>
      </w:r>
    </w:p>
    <w:p>
      <w:r>
        <w:t>A/1329/2010 - 5/10 -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A/1329/2010 - 6/10 -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w:t>
      </w:r>
    </w:p>
    <w:p>
      <w:r>
        <w:t>A/1329/2010 - 7/10 -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En l'espèce, la situation médicale apparaît claire puisque, malgré les investigations complémentaires auxquels le recourant s'est soumis, l'origine des symptômes dont il se plaint n'a pu être établie. Il en résulte que, mis à part, l'atteinte oculaire, le recourant a été reconnu apte à exercer à plein temps une activité adaptée à son état.</w:t>
      </w:r>
    </w:p>
    <w:p>
      <w:r>
        <w:rPr>
          <w:b/>
        </w:rPr>
        <w:t>E. 9</w:t>
      </w:r>
    </w:p>
    <w:p>
      <w:r>
        <w:t>A cet égard, il convient dès lors de vérifier le calcul du degré d'invalidité auquel s'est livré l'intimé.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A/1329/2010 - 8/10 -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revenu avant d'invalidité n'est pas contesté. Il y a dès lors lieu de s'y tenir. Quant au revenu d'invalide, le recourant soutient qu'une réduction de plus de 10% aurait dû lui être appliquée. Cet argument ne saurait toutefois être suivi dans la mesure où, ainsi que l'a fait remarquer à juste titre l'intimé, l'assuré est encore jeune et où il n'existe pas d'autres circonstances particulières qui pourraient l'entraver dans sa recherche d'emploi, son manque de formation ayant été déjà pris en considération dans le niveau de difficulté de l'activité exigible retenue. On rappellera pour le surplus que, selon la jurisprudence, si l'assuré ne réalise aucun revenu réel parce qu’il n'a plus repris d'activité depuis son invalidité, il y a lieu de se référer aux données statistiques, telles qu'elles résultent de l’Enquête sur la structure des salaires de l'Office fédéral de la statistique (ESS; ATF 126 V 76 s. consid. 3b/aa et bb; VSI 2002 p. 68 consid. 3b; VSI 2000 consid. 3b/bb p. 318; VSI 2000 consid. 2a p. 84; Revue à l'intention des caisses de compensation [RCC] 1991 p. 332/333 consid. 3c; RCC 1989 p. 332 consid. 3b). Le TFA se réfère, depuis 1994, à cette enquête, publiée tous les deux ans. Est déterminante la valeur centrale (médiane) de la statistique des salaires bruts standardisés (ATF 124 V 323 consid. 3b/bb ; VSI 1999 p. 182). Il y a lieu de tenir compte de l’ensemble des secteurs de la production et des services et de ne pas se limiter aux données statistiques d’un seul secteur économique (ATF 126 V 81 consid. 7a). Toujours selon la jurisprudence, on peut admettre, au regard du large éventail d'activités simples et répétitives que recouvrent les secteurs de la production et des services, qu'un nombre significatif de ces activités sont légères et adaptées au handicap de l'assuré et que le salaire statistique pris en considération est donc représentatif de ce que pourrait gagner l’intéressé, compte tenu d'un marché équilibré du travail (au</w:t>
      </w:r>
    </w:p>
    <w:p>
      <w:r>
        <w:t>A/1329/2010 - 9/10 - sens de l'art. 28 al. 2 aLAI ou 16 LPGA), en mettant à profit sa pleine capacité de travail dans une activité adaptée. En conséquence, le calcul du taux d'invalidité doit être confirmé et le recours rejeté sur ce point.</w:t>
      </w:r>
    </w:p>
    <w:p>
      <w:r>
        <w:rPr>
          <w:b/>
        </w:rPr>
        <w:t>E. 10</w:t>
      </w:r>
    </w:p>
    <w:p>
      <w:r>
        <w:t>En ce qui concerne la conclusion tendant à l'octroi de mesures d'ordre professionnel, il convient également de rejeter le recours pour les motifs exposés ci- après.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s'il remplit à l'évidence les conditions objectives mises à l'octroi d'un reclassement (nécessité d'un changement de profession, taux d'invalidité supérieur à 20%), n'a pas été en mesure de suivre jusqu'au bout le stage de réadaptation mis sur pied à son intention. Sa bonne volonté et sa motivation ne font aucun doute mais, en l'absence d'amélioration significative de son état de santé depuis cette première tentative, force est de supposer qu'un nouvel essai sera voué à l'échec. c) Dans de telles circonstances, il convient de considérer que la mise en œuvre d'un reclassement professionnel n'est vraisemblablement pas de nature à sauvegarder ou améliorer les capacités de gain du recourant. Cela étant, d'autres mesures d'ordre professionnel pourraient être accordées par l'intimé, comme ce dernier l'a à juste titre mentionné dans sa décision et à l'audience de comparution personnelle. Le recourant est dès lors invité à s'adresser à l'OAI pour demander l'octroi d'une aide au placement. Eu égard aux considérations qui précèdent, le recours est rejeté.</w:t>
      </w:r>
    </w:p>
    <w:p>
      <w:r>
        <w:t>A/1329/2010 - 10/10 -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