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ATAS/569/2010 vom 26. Mai 2010</w:t>
      </w:r>
    </w:p>
    <w:p>
      <w:r>
        <w:t>GE Cour de justice, 2010-05-26, FR</w:t>
      </w:r>
    </w:p>
    <w:p>
      <w:r>
        <w:rPr>
          <w:b/>
        </w:rPr>
        <w:t xml:space="preserve">Quelle: </w:t>
      </w:r>
      <w:r>
        <w:t>https://mcp.opencaselaw.ch/entscheid/ge_gerichte_ATAS_569_2010</w:t>
      </w:r>
    </w:p>
    <w:p>
      <w:r>
        <w:t>FR: GE_GERICHTE ATAS/569/2010 du 26 mai 2010</w:t>
      </w:r>
    </w:p>
    <w:p>
      <w:r>
        <w:t>IT: GE_GERICHTE ATAS/569/2010 del 26 maggio 2010</w:t>
      </w:r>
    </w:p>
    <w:p>
      <w:pPr>
        <w:pStyle w:val="Heading2"/>
      </w:pPr>
      <w:r>
        <w:t>Erwägungen</w:t>
      </w:r>
    </w:p>
    <w:p>
      <w:r>
        <w:rPr>
          <w:b/>
        </w:rPr>
        <w:t>E. 18</w:t>
      </w:r>
    </w:p>
    <w:p>
      <w:r>
        <w:t>Par projet de décision du 17 novembre 2008, l’OAI a refusé l’octroi d’une rente à l’assuré, au motif qu’après comparaison des gains, le revenu d’invalidité s’élevait à 11 %.</w:t>
      </w:r>
    </w:p>
    <w:p>
      <w:r>
        <w:rPr>
          <w:b/>
        </w:rPr>
        <w:t>E. 19</w:t>
      </w:r>
    </w:p>
    <w:p>
      <w:r>
        <w:t>L’assuré a contesté ce projet par courrier du 15 décembre 2008 et sollicité une seconde expertise médicale.</w:t>
      </w:r>
    </w:p>
    <w:p>
      <w:r>
        <w:rPr>
          <w:b/>
        </w:rPr>
        <w:t>E. 20</w:t>
      </w:r>
    </w:p>
    <w:p>
      <w:r>
        <w:t>L’OAI a requis des renseignements médicaux du Dr C___________, en vain.</w:t>
      </w:r>
    </w:p>
    <w:p>
      <w:r>
        <w:rPr>
          <w:b/>
        </w:rPr>
        <w:t>E. 21</w:t>
      </w:r>
    </w:p>
    <w:p>
      <w:r>
        <w:t>Par courrier du 23 janvier 2009, le Dr A___________ a informé l’OAI avoir constaté lors de la consultation du 19 janvier 2009 une nette aggravation des douleurs et de la boiterie due à la lésion cartilagineuse instable post-traumatique. Actuellement, le périmètre de marche avec douleurs et deux cannes est limité à 500 mètres. Compte tenu de l’évolution qui va en se dégradant progressivement malgré le traitement, le patient n’est pas suffisamment soulagé et l’indication à une arthrodèse tibio-astragalienne doit être rediscutée.</w:t>
      </w:r>
    </w:p>
    <w:p>
      <w:r>
        <w:rPr>
          <w:b/>
        </w:rPr>
        <w:t>E. 22</w:t>
      </w:r>
    </w:p>
    <w:p>
      <w:r>
        <w:t>Le Dr B___________, de la SUVA, assurance militaire a établi une notice médicale en date du 28 août 2009. Il note une chronicisation, voire une péjoration des douleurs de la cheville gauche qui s’accompagne maintenant de gonalgies homolatérales, avec un périmètre de marche diminué à 500 mètres en quelques mois. Compte tenu de l’âge du patient, de sa formation et de ses aptitudes personnelles, les seuls travaux à sa disposition seraient dans des postes exigeants physiquement et incompatibles avec son affection touchant la cheville gauche, puisqu’une reconversion professionnelle, dans une activité plus adaptée, vu l’ensemble du tableau, ne paraît manifestement pas possible. Le seul travail que l’assuré pourrait exécuter serait actuellement un travail en position assise uniquement, mais même dans cette situation le travail serait perturbé par les gonalgies gauches et les cannes. Le Dr B___________ conclut, au vu de l’ensemble du tableau et de son évolution, que la capacité médico-théorique résiduelle peut être estimée actuellement à 30 %.</w:t>
      </w:r>
    </w:p>
    <w:p>
      <w:r>
        <w:rPr>
          <w:b/>
        </w:rPr>
        <w:t>E. 23</w:t>
      </w:r>
    </w:p>
    <w:p>
      <w:r>
        <w:t>Le SMR, dans un avis médical du 30 novembre 2009, considère, au vu des limitations fonctionnelles, que la capacité de travail dans l’activité habituelle est nulle dès le 31 octobre 2006, mais que dans une activité adaptée, elle est de 100 % un mois après arthroscopie de janvier 2007, soit dès le mois de février 2007.</w:t>
      </w:r>
    </w:p>
    <w:p>
      <w:r>
        <w:rPr>
          <w:b/>
        </w:rPr>
        <w:t>E. 24</w:t>
      </w:r>
    </w:p>
    <w:p>
      <w:r>
        <w:t>Par décision du 7 décembre 2009, l’OAI a refusé l’octroi d’une rente d’invalidité, motif pris que la capacité de travail de l’assuré est entière dans une activité adaptée et que le degré d’invalidité s’élève à 11 %, insuffisant pour ouvrir droit à une rente.</w:t>
      </w:r>
    </w:p>
    <w:p>
      <w:r>
        <w:rPr>
          <w:b/>
        </w:rPr>
        <w:t>E. 25</w:t>
      </w:r>
    </w:p>
    <w:p>
      <w:r>
        <w:t>L’assuré interjette recours en date du 4 janvier 2010. Il conteste l’appréciation de la capacité de travail faite par les médecins du SMR, dès lors qu’elle ne tient pas compte de la réalité. Il fait valoir que le médecin de l’assurance militaire a évalué sa capacité de travail médico-théorique à 30 %. Il s’oppose également à la méthode</w:t>
      </w:r>
    </w:p>
    <w:p>
      <w:r>
        <w:t>A/19/2010 - 6/13 - d’évaluation prise en compte par l’OAI, arguant que s’il ne travaillait précédemment qu’à 60 %, c’est parce que son employeur ne pouvait pas l’engager à un taux supérieur et qu’il n’avait pas pu trouver d’autre emploi à l’époque. Il conclut à l’annulation de la décision et à l’octroi d’une rente d’invalidité.</w:t>
      </w:r>
    </w:p>
    <w:p>
      <w:r>
        <w:rPr>
          <w:b/>
        </w:rPr>
        <w:t>E. 26</w:t>
      </w:r>
    </w:p>
    <w:p>
      <w:r>
        <w:t>Dans sa réponse du 26 janvier 2010, l’OAI conclut au rejet du recours. Il relève que l’aggravation signalée par le Dr A___________ repose sur une appréciation subjective rapportée par son patient. Pour le surplus, la dernière appréciation de l’assurance militaire prend en compte des facteurs non relevant pour l’assurance- invalidité, tel que le niveau de formation. Pour cette raison, elle ne saurait être suivie.</w:t>
      </w:r>
    </w:p>
    <w:p>
      <w:r>
        <w:rPr>
          <w:b/>
        </w:rPr>
        <w:t>E. 27</w:t>
      </w:r>
    </w:p>
    <w:p>
      <w:r>
        <w:t>Par l’intermédiaire de sa mandataire, le recourant a déposé des observations complémentaires en date du 8 mars 2010. Il soutient que ses capacités fonctionnelles sont très fortement diminuées, dans la mesure où il ne peut rester plus d’une ou deux heures en position debout, qu’il ne peut plus s’agenouiller, s’accroupir, se baisser, incliner le buste, avoir des mouvements des membres ou du dos répétitifs. Dans ces conditions, il semble difficile de trouver un travail correspondant à ses aptitudes physiques. Il fait valoir également que d’autres pathologies sont du ressort de l’assurance-invalidité, telles que les gonalgies gauches et les lombalgies. En outre, le recourant signale qu’il a été amputé d’un orteil en juin 2008, suite à une infection, qu’il est en traitement chez le Dr C___________ pour un diabète et qu’il se déplace à l’aide de cannes. A cet égard, il fait grief à l’intimé de n’avoir pas sollicité l’avis d’un autre médecin quant à son état de santé, dès lors que le Dr C___________ n’avait jamais répondu. D’autre part, lors de la consultation du 23 janvier 2009, le Dr A___________ a constaté une nette aggravation des douleurs et de la boiterie, et a relevé que la situation se dégradait progressivement, que le patient n’était pas soulagé malgré le traitement par Tramal retard associé à du Dafalgan, de sorte que l’indication à une arthrodèse tibio-astragalienne doit être rediscutée. Il conclut préalablement à ce qu’une expertise ou un examen médical soit mis sur pied, sur le fond, à ce qu’une rente entière d’invalidité lui soit octroyée, subsidiairement au renvoi de la cause à l’OAI pour instruction complémentaire aux fins de déterminer son taux d’invalidité et nouvelle décision.</w:t>
      </w:r>
    </w:p>
    <w:p>
      <w:r>
        <w:rPr>
          <w:b/>
        </w:rPr>
        <w:t>E. 28</w:t>
      </w:r>
    </w:p>
    <w:p>
      <w:r>
        <w:t>Le Tribunal de céans a entendu les parties en comparution personnelle le 14 avril 2010. Le recourant a déclaré qu’il percevait toujours des indemnités journalières de l’assurance militaire. Dans sa dernière activité d’éboueur, il travaillait à 70 %, car l’entreprise n’employait aucun salarié à plein temps. Il s’est déclaré d’accord avec le statut mixte retenu par l’OAI, mais conteste pouvoir travailler à 100 %. Selon le recourant, il a subi une amputation de l’orteil droit, il a mal aux épaules et des examens pratiqués en décembre 2009 ont mis en évidence des calculs rénaux, dont il ignore encore quelles en seront les suites. Pour le surplus, une nouvelle intervention est prévue sur la cheville. Selon le recourant, son état de santé s’est</w:t>
      </w:r>
    </w:p>
    <w:p>
      <w:r>
        <w:t>A/19/2010 - 7/13 - aggravé. Il considère que le dossier médical n’a pas été suffisamment instruit et conclut à une expertise sous forme d’un COMAI. L’OAI pour sa part a déclaré qu’il se référait à l’appréciation médicale de l’assurance militaire, mais non pas à celle de la capacité résiduelle dès lors que des éléments étrangers à l’assurance- invalidité ont été pris en compte.</w:t>
      </w:r>
    </w:p>
    <w:p>
      <w:r>
        <w:rPr>
          <w:b/>
        </w:rPr>
        <w:t>E. 29</w:t>
      </w:r>
    </w:p>
    <w:p>
      <w:r>
        <w:t>Sur quoi, la cause a été gardée à juger. 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Les règles de procédure quant à elles s'appliquent sans réserve dès le jour de leur entrée en vigueur (ATF 117 V 93 consid. 6b, 112 V 360 consid. 4a; RAMA 1998 KV 37 p. 316 consid. 3b). En l'espèce, la décision litigieuse, du 7 décembre 2009, est postérieure à l'entrée en vigueur de la LPGA ainsi qu’à l'entrée en vigueur, le 1er janvier 2004, des modifications de la LAI du 21 mars 2003 (4ème révision) et à celle, le 1er janvier 2008, relative aux modifications de la LAI du 6 octobre 2006 (5ème révision). Elle porte par ailleurs sur le droit à des prestations susceptibles de prendre naissance en 2007, la demande de prestations ayant été déposée en octobre 2007. Par conséquent, du point de vue matériel, le droit éventuel à des prestations d’invalidité doit être examiné au regard des nouvelles normes de la LPGA et des modifications de la LAI consécutives à la 4ème révision de cette loi. Les dispositions de la 5ème révision de la LAI ne seront prises en compte que dans la mesure de leur pertinence (ATF 130 V 445 et les références; voir également ATF 130 V 329). Il convient d’ajouter que s’agissant de l’évaluation de l’invalidité et de l’échelonnement des rentes, la 5ème révision de la LAI n’a pas apporté de modifications substantielles (cf. Message concernant la modification de la loi fédérale sur l’assurance-invalidité [5ème révision], du 22 juin 2005, FF 2005 4215, p. 4322). La cinquième révision a en revanche modifié les règles relatives à la naissance du droit à la rente, qui, pour autant que les conditions du droit soient réunies (art. 28 al.</w:t>
      </w:r>
    </w:p>
    <w:p>
      <w:r>
        <w:t>A/19/2010 - 8/13 - 1 LAI), prend naissance au plus tôt à l’échéance d’une période de six mois à compter de la date à laquelle l’assuré a fait valoir son droit aux prestations conformément à l’art. 29 al. 1 LPGA (cf. ATF non publié du 28 août 2008, 8C_373/08, consid. 2.1). En l’espèce toutefois, dans la mesure où l’incapacité de travail significative a débuté en octobre 2006 et que la demande de prestations a été déposée en 2007, ce sont les anciennes dispositions qui s’appliquent, (cf. Lettre- circulaire n° 253 de l’OFAS, du 12 décembre 2007, La 5ème révision de l’AI et le droit transitoire). Pour le surplus, la LPGA, entrée en vigueur le 1er janvier 2003, est applicable. 3. Interjeté dans les forme et délai prescrits, le recours est recevable (art. 56 et 60 LPGA). 4. Le litige porte sur le droit du recourant à une rente de l’assurance-invalidité, singulièrement sur son statut et son degré d’invalidité. 5. a) Aux termes de l’art. 8 al. 1er LPGA, est réputée invalidité l’incapacité de gain totale ou partielle qui est présumée permanente ou de longue durée. Selon l’art. 4 al. 1er LAI, l’invalidité peut résulter d’une infirmité congénitale, d’une maladie ou d’un accident.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 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L'assuré a droit à une rente entière s'il est invalide à 70 % au moins, à trois quarts de rente s'il est invalide à 60 % au moins, à une demi-rente s'il est invalide à 50 % au moins ou à un quart de rente s'il est invalide à 40 % au moins (art. 28 al. 1 LAI en vigueur du 1er janvier 2004 au 31 décembre 2007 et art. 28 al. 2 LAI dès le 1er janvier 2008). Selon l’art. 29 al. 1 LAI, en sa teneur en vigueur jusqu’au 31 décembre 2007, le droit à la rente prend naissance au plus tôt à la date dès laquelle l’assuré présente une incapacité de gain durable de 40 % au moins (art. 7 LGA) ou lorsqu’il a présenté, en moyenne, une incapacité de travail de 40 % au moins pendant une année sans interruption notable (art. 6 LPGA).</w:t>
      </w:r>
    </w:p>
    <w:p>
      <w:r>
        <w:t>A/19/2010 - 9/13 -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nécessaire,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(du Tribunal fédéral) I 514/06 du 25 mai 2007 consid. 2.2.1, in SVR 2008 IV Nr. 15 p. 43), on ne saurait remettre en cause une expertise</w:t>
      </w:r>
    </w:p>
    <w:p>
      <w:r>
        <w:t>A/19/2010 - 10/13 -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6. Ainsi que le Tribunal fédéral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LPGA.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À cet égard, le Tribunal fédéral a eu l’occasion de préciser qu’une appréciation divergente ne devrait intervenir qu’à titre exceptionnel et seulement s’il existe des motifs suffisants. Pourraient constituer de tels motifs le fait que l’évaluation repose sur une erreur de droit ou sur une appréciation insoutenable, qu’elle n’emporte nullement la conviction, qu’elle soit entachée du partialité ou de subjectivité, ou encore qu’elle résulte d’une simple transaction conclue avec l’assuré (ATF non publié du 30 novembre 2004, I 50/04). En tout état, l’OCAI ne saurait être lié par</w:t>
      </w:r>
    </w:p>
    <w:p>
      <w:r>
        <w:t>A/19/2010 - 11/13 - l’évaluation de l’invalidité faite par l’assureur-accidents (ATF non publié du 8 août 2008, 9C_751/2007). 7. En l’espèce, selon les rapports médicaux figurant au dossier, le recourant présente une atteinte à la cheville gauche qui a nécessité une intervention, ainsi qu’une lésion instable du ménisque interne et externe gauche. En raison de ces affections, les médecins sont unanimes à conclure qu’il n’est plus à même d’exercer son ancienne activité d’éboueur et de ramasseur de feuilles, s’agissant d’un travail trop lourd (cf. rapports des Dr A___________ et B___________). En revanche, dans une activité adaptée, le SMR retient une capacité de travail totale, sans diminution de rendement. Il se fonde sur l’évaluation faite par le Dr B___________, de la SUVA, assurance militaire, qui a conclu en 2008 à une capacité de travail médico-théorique de 100 % dans une activité adaptée, en position assise, ne nécessitant que de brefs déplacements et sans posture accroupie. Le recourant conteste cette appréciation, rappelant que le médecin de l’assurance- miliaire a retenu en définitive une capacité de travail de 30 % au plus. Le Tribunal de céans constate que le médecin de l’assurance-militaire a tenu compte du niveau de formation, de l’âge, de la présentation, etc. du recourant pour conclure en définitive à une capacité de travail de 30 % au plus. Or, comme le soutient l’intimé, il s’agit-là, de toute évidence, de facteurs psycho-sociaux dont l’assurance-invalidité n’a pas à répondre (cf. ATF 127 V 294 ; ATF du 17 novembre 2006 I 238/06). D’ailleurs, en 2008, le même médecin avait conclu à une capacité de travail médico-théorique de 100 % dans une activité adaptée. Quant au Dr A___________, il retenait apparemment en 2007 une capacité de travail totale dans une activité adaptée, avant de se raviser plus tard, suite à l’aggravation de l’état de santé. Par conséquent, l’intimé n’est pas lié par le degré d’invalidité retenu par l’assurance-militaire. Cela étant, le Tribunal de céans relève, au vu du dossier médical, que le recourant présente, outre les séquelles dues à l’accident militaire, plusieurs autres pathologies (gonalgies, lombalgies, diabète, etc.). En 2008, il été amputé de l’orteil, sans qu’aucun rapport médical y relatif ne figure au dossier et l’on ignore si et dans quelle mesure lesdites pathologies entraînent des limitations, voire une diminution de rendement. En outre, le médecin traitant, le Dr C___________, n’a pas répondu à l’OAI, ce dont ont ne saurait faire grief au recourant. Enfin, des examens récents auraient mis en évidence des calculs rénaux. Une évaluation globale de la situation médicale du recourant, qui tienne compte de l’ensemble de ses atteintes à la santé fait cruellement défaut. En l’état actuel du dossier, le Tribunal de céans n’est pas en mesure de tirer des conclusions définitives quant à l’atteinte à la santé présentée par le recourant, ses limitations et ses répercussions sur la capacité de travail raisonnablement exigible</w:t>
      </w:r>
    </w:p>
    <w:p>
      <w:r>
        <w:t>A/19/2010 - 12/13 - dans une activité adaptée. Par conséquent, le dossier sera retourné à l’intimé, afin qu’il mette en œuvre, dans les meilleurs délais, une expertise pluridisciplinaire et rende une nouvelle décision. 8. Au vu de ce qui précède, le recours sera partiellement admis. 9. Le recourant a droit à une indemnité à titre de participation à ses frais et dépens, que le Tribunal fixe en l’espèce à 1'500 fr. (art. 89H al. 3 LPA ; art. 61 let. g LPGA). 10. Pour le surplus, un émolument de 500 fr. est mis à la charge de l’intimé (cf. art. 69 al. 1bis LAI).</w:t>
      </w:r>
    </w:p>
    <w:p>
      <w:r>
        <w:t>A/19/2010 - 13/13 -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