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ATAS/569/2008 vom 13. Mai 2008</w:t>
      </w:r>
    </w:p>
    <w:p>
      <w:r>
        <w:t>GE Cour de justice, 2008-05-13, FR</w:t>
      </w:r>
    </w:p>
    <w:p>
      <w:r>
        <w:rPr>
          <w:b/>
        </w:rPr>
        <w:t xml:space="preserve">Quelle: </w:t>
      </w:r>
      <w:r>
        <w:t>https://mcp.opencaselaw.ch/entscheid/ge_gerichte_ATAS_569_2008</w:t>
      </w:r>
    </w:p>
    <w:p>
      <w:r>
        <w:t>FR: GE_GERICHTE ATAS/569/2008 du 13 mai 2008</w:t>
      </w:r>
    </w:p>
    <w:p>
      <w:r>
        <w:t>IT: GE_GERICHTE ATAS/569/2008 del 13 maggio 2008</w:t>
      </w:r>
    </w:p>
    <w:p>
      <w:pPr>
        <w:pStyle w:val="Heading2"/>
      </w:pPr>
      <w:r>
        <w:t>Regeste</w:t>
      </w:r>
    </w:p>
    <w:p>
      <w:r>
        <w:t>Résumé: Le Tribunal a retenu que les conditions requises pour assimiler le revenu effectif au revenu d'invalide du recourant, physiothérapeute indépendant, soit pour assimiler le taux de l'incapacité de travail au taux d'invalidité, étaient réunies, après avoir passé en revue les différentes méthodes d'évaluation de l'invalidité pour les indépendants.</w:t>
      </w:r>
    </w:p>
    <w:p>
      <w:pPr>
        <w:pStyle w:val="Heading2"/>
      </w:pPr>
      <w:r>
        <w:t>Erwägungen</w:t>
      </w:r>
    </w:p>
    <w:p>
      <w:r>
        <w:rPr>
          <w:b/>
        </w:rPr>
        <w:t>E. 1</w:t>
      </w:r>
    </w:p>
    <w:p>
      <w:r>
        <w:t>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w:t>
      </w:r>
    </w:p>
    <w:p>
      <w:r>
        <w:t>A/1165/2007 - 10/18 - En l’espèce, le présent recours concerne le droit à des prestations dès le mois de mai 2003, la décision a été rendue en 2005, mais l'accident à l'origine de la demande s'est produit en 1997 et plusieurs expertises médicales ont été effectuées avant 2003. Étant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est applicable dans la mesure où le recours a été formé après le 1er juillet 2006 (ch. II let. c des dispositions transitoires relatives à la modification du 16 décembre 2005).</w:t>
      </w:r>
    </w:p>
    <w:p>
      <w:r>
        <w:rPr>
          <w:b/>
        </w:rPr>
        <w:t>E. 3</w:t>
      </w:r>
    </w:p>
    <w:p>
      <w:r>
        <w:t>Le recours, interjeté dans les forme et délai prévus par la loi, est recevable (art. 56 à 60 LPGA).</w:t>
      </w:r>
    </w:p>
    <w:p>
      <w:r>
        <w:rPr>
          <w:b/>
        </w:rPr>
        <w:t>E. 4</w:t>
      </w:r>
    </w:p>
    <w:p>
      <w:r>
        <w:t>Le litige porte sur l'évaluation de l'invalidité du recourant et en particulier sur son droit à une rente de l'assurance-invalidité.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w:t>
      </w:r>
    </w:p>
    <w:p>
      <w:r>
        <w:t>A/1165/2007 - 11/18 -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(ci-après : TFA) a posé des lignes directrices en ce qui</w:t>
      </w:r>
    </w:p>
    <w:p>
      <w:r>
        <w:t>A/1165/2007 - 12/18 -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6</w:t>
      </w:r>
    </w:p>
    <w:p>
      <w:r>
        <w:t>En l'espèce, le Tribunal constate que l'OCAI fait une confusion dans ce dossier, dès l'origine, entre la capacité de travail physique et psychique du recourant et les conséquences d'une diminution de celles-ci sur sa capacité de gain. S'agissant de l'état de santé du recourant, plusieurs expertises médicales ont été effectuées, ainsi qu'une expertise psychiatrique. À leur lecture, on constate que toutes ces expertises revêtent une pleine valeur probante. Elles sont en effet complètes, claires, convaincantes. D'ailleurs, à aucun moment l'OCAI n'a mis en cause la valeur probante de ces expertises, en particulier pas lorsque le Tribunal l'a expressément interpelé sur la valeur probante de l'expertise psychiatrique. Sur le plan somatique, il est ainsi établi que les conséquences de l'accident (cf. point 3 en fait) ont rendu le recourant totalement incapable de travailler du jour de l'accident jusqu'au 13 octobre 1997, depuis là, incapable de travailler à 75 % jusqu'au mois de mars 1998, et à raison de 50 % depuis lors. Dans son troisième complément d'expertise l'expert chirurgien a en effet confirmé que l'incapacité de travail de 50 % était toujours justifiée, qu'il ne fallait pas s'attendre à ce qu'elle puisse être améliorée à l'avenir, et que tous les travaux demandant régulièrement de la force n'étaient plus possibles pour le recourant. À cette occasion, l'expert a également confirmé la persistance d'un syndrome post-commotionnel avec des troubles neurologiques et psychiatriques, et suspecté un état dépressif. Quant à l'expert psychiatre, il relate un trouble psychotique avec hallucinations auditives qui se greffe sur un épisode dépressif moyen apparu dans le courant de l'automne 2002. Au jour de l'expertise, le recourant est délirant, halluciné et déprimé. La capacité de travail est nulle. On peine donc à voir pour quelle raison des investigations médicales seraient nécessaires, ni en quoi il serait « extrêmement difficile de se prononcer sur les limitations fonctionnelles actuelles du recourant » (cf. avis de SMR du 28 février 2008). On ne voit pas davantage d'où sort la mention d'un syndrome somatoforme douloureux, mentionné dans la décision sur opposition, et qui ne serait pas invalidant à défaut de comorbidité, un tel trouble n'ayant jamais été diagnostiqué (au contraire d'un syndrome douloureux de l'épaule droite, ce qui n'a rien à voir).</w:t>
      </w:r>
    </w:p>
    <w:p>
      <w:r>
        <w:t>A/1165/2007 - 13/18 - Par conséquent, il y a lieu de retenir que le recourant est incapable de travailler à 50% depuis le mois de mars 1998 et à 100 % depuis l'automne 2002. Il ressort du dossier, notamment de l'audition du médecin traitant ainsi que des agendas produits qu'il a malgré tout repris et maintenu une activité professionnelle de 10 à 20 %, se rendant à son cabinet une à deux heures par jour et effectuant quelques massages pour des connaissances. Il s'agit là toutefois d'une activité quasiment occupationnelle. Il apparaît en effet que peu à peu le recourant est devenu incapable de gérer son cabinet. Le message produit dans la procédure, provenant de l'une des collaboratrices, est à cet égard assez parlant. Le comportement du recourant en audience, apparemment complètement à bout, et hors audience (brûlures sur l'hémicorps gauche) l'est aussi.</w:t>
      </w:r>
    </w:p>
    <w:p>
      <w:r>
        <w:rPr>
          <w:b/>
        </w:rPr>
        <w:t>E. 7</w:t>
      </w:r>
    </w:p>
    <w:p>
      <w:r>
        <w:t>a) Il convient maintenant d'examiner la répercussion de ces incapacités de travail sur la capacité de gain du recourant. On rappellera que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n’avait pas été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consid. 3b/bb). On se</w:t>
      </w:r>
    </w:p>
    <w:p>
      <w:r>
        <w:t>A/1165/2007 - 14/18 - réfère alors à la statistique des salaires bruts standardisés, en se fondant toujours sur la médiane ou valeur centrale (ATF 124 V 321). b) S'agissant des indépendants, la circulaire de l'OFFICE FÉDÉRAL DES ASSURANCES SOCIALES (ci-après OFAS) concernant l'invalidité et l'impotence (ci-après CIIAI) prévoit que l'on examine le développement probable qu'aurait suivi l'entreprise de la personne assurée si celle-ci n'était pas devenue invalide (chiffre 3029 et ss; RCC 1963 p. 427). On prendra en considération les aptitudes professionnelles et personnelles de la personne assurée, la nature de son activité, la situation économique et le développement de l'entreprise. À noter que l'on doit faire abstraction du revenu qui ne proviendrait pas de l'activité propre à la personne handicapée (intérêts du capital engagé dans l'entreprise, part du revenu attribuable à la collaboration des proches, etc.; chiffre 3031, RCC 1962 p. 480). Lorsque l'on ne peut établir une diminution importante, pour cause d'invalidité, du revenu de l'entreprise d'une personne indépendante, laquelle continue à travailler d'entreprise, on ne peut admettre l'existence d'une invalidité que si, depuis la survenance de l'atteinte à la santé, l'accomplissement de certaines tâches a nécessité la collaboration supplémentaire ou notablement plus fréquente d'une ou de plusieurs personnes (augmentation du personnel de l'entreprise; chiffre 3078). c)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w:t>
      </w:r>
    </w:p>
    <w:p>
      <w:r>
        <w:t>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191/2004 du 30.03.2004; ATAS 526/2005). d) Enfin, dans certaines conditions on peut assimiler le revenu effectif au revenu d'invalide, ou, pour l'exprimer autrement retenir que le taux d'incapacité de travail correspond au taux d'invalidité. Il faut pour cela que la personne assurée exerce une activité dans laquelle on peut admettre que sa capacité de travail résiduelle est</w:t>
      </w:r>
    </w:p>
    <w:p>
      <w:r>
        <w:t>A/1165/2007 - 15/18 - pleinement utilisée, au sens où s'entend la notion d'activité lucrative raisonnablement exigible ; il faut également que le revenu réalisé corresponde au travail fourni ; enfin on doit pouvoir s'attendre à ce qu'un tel revenu puisse aussi être obtenu ailleurs, de façon durable dans une situation équilibrée du marché du travail, et ce dans une mesure raisonnablement exigible, ou alors les conditions de travail doivent être particulièrement stables, excluant pour ainsi dire un changement d'emploi ou le laissant apparaître comme très improbable, même sans invalidité ; on est en présence de conditions de travail particulièrement stables lorsque l'on peut admettre que la personne assurée exercera vraisemblablement son activité aussi longtemps que son handicap le lui permettra, et cela indépendamment de la situation du marché du travail (cf. CIIAI chiffre 3060).</w:t>
      </w:r>
    </w:p>
    <w:p>
      <w:r>
        <w:rPr>
          <w:b/>
        </w:rPr>
        <w:t>E. 8</w:t>
      </w:r>
    </w:p>
    <w:p>
      <w:r>
        <w:t>Dans cette deuxième étape, l'OCAI a commis une nouvelle confusion, en confondant la perte de gains subie par le recourant et la diminution du chiffre d'affaires réalisé par l'entreprise. En particulier, l'OCAI n'a pas tenu compte des produits d'exploitation directement liés à l'activité de la personne engagée par le recourant pour pallier son absence, et dont il ressort effectivement des comptes qu'il n'était pas salarié mais payé par le biais d'honoraires, figurant dans les comptes sous la rubrique « travaux en sous-traitance ». Certes, le recourant avait l'obligation de diminuer son dommage, ce qu'il a fait en engageant du personnel. Mais il ne suffit pas de constater que l'entreprise - et non le recourant lui-même - a pu continuer de «réaliser des gains tout à fait dans la norme » (comme mentionné dans la décision litigieuse). L'OCAI ne peut s'ériger en comptable et estimer si oui ou non les résultats de l'entreprise sont satisfaisants. Il doit bien plutôt évaluer les perspectives qu'avait le recourant en qualité de dirigeant de son entreprise, et examiner les comptes dans la perspective de dégager le gain effectué par le recourant à l'exclusion des gains générés par ces remplaçants. Cette tâche est difficile car l'on ne sait pas toujours à quoi attribuer une amélioration ou une péjoration des résultats de l'entreprise pour une année donnée. En l'occurrence, les comptes sont en substance les suivants:</w:t>
      </w:r>
    </w:p>
    <w:p>
      <w:r>
        <w:t>1995 1996 1997 1998 Produits d'exploitation 385'735 393'078 428'352 517'878 Travaux sous- traitance 32'893 35'442 37'586 109'132 Marge brute 352'842 357'636 390'766 408'746 Bénéfice 73'834 81'766 111'784 111'536</w:t>
      </w:r>
    </w:p>
    <w:p>
      <w:r>
        <w:t>A/1165/2007 - 16/18 - d'exportation</w:t>
      </w:r>
    </w:p>
    <w:p>
      <w:r>
        <w:t>1999 2000 2001 2002 2003 525'434 521'375 523'932 511'056 371'920 138'915 138'948 142'605 199'179 84'946 386'519 382'427 381'328 311'877 286'974 102'410 86'952 81'244 84'786 84'403</w:t>
      </w:r>
    </w:p>
    <w:p>
      <w:r>
        <w:t>Le bénéfice d'exploitation ne peut pas être seul pris en compte car il dépend en grande partie des frais généraux, qui peuvent fluctuer sans lien avec la capacité de travail de l'assuré, ou en tout cas sans qu'un lien direct puisse être établi. Les produits d'exploitation ne peuvent pas non plus être lus sans relation avec les travaux en sous-traitance puisque ceux-ci correspondent aux honoraires versés au remplaçant du recourant. On peut constater de ces chiffres que la marge brute était en augmentation entre 1995 et 1998. C'est un indice de ce que la société était en expansion, qui s'est poursuivie jusqu'à un an après l'accident du recourant. Dès 1999 cette marge brute n'a fait que diminuer, de façon très importante en 2003. Il n'est cependant pas possible de déduire des comptes quelle a été la réelle diminution de gain du recourant lui-même. La méthode ordinaire de comparaison des revenus est donc tout à fait inadéquate dans le cas d'espèce. On peut songer à renvoyer le dossier pour que l'Office procède à la méthode extraordinaire ci-dessus décrite. Cette méthode a l'avantage de prendre en compte l'activité de l'assuré uniquement - et non de l'entreprise en général - et d'imputer directement sur ses activités les handicaps retenus. On peut relever toutefois ce qui suit. On ignore, certes, quel pourcentage de son activité le recourant passait à l'administration, aux travaux de direction du cabinet. Pour une petite entreprise, cette part est en général fixée à 10 %. On sait, par le recourant lui-même, qu'avant l'accident il travaillait environ une soixantaine d'heures à l'exercice de son métier. Il n'a pas mentionné les tâches de direction, dont il est vraisemblable qu'il les exécutait en cours de journée, en donnant des instructions, en surveillant l'exécution des tâches de ses salariés, en en prenant des décisions. En temps, cette activité devait peu l'occuper. Toutefois, une fois qu'il est devenu incapable d'assumer ces tâches, les conséquences ont été importantes sur le cabinet, et surtout sur ses propres revenus, car il n'avait plus la maîtrise de ses collaborateurs. Quant à l'activité manuelle du recourant il indique qu'elle a passé de 60 heures par semaine à 18-20 heures par semaine en 2002. Elle est d'une dizaine</w:t>
      </w:r>
    </w:p>
    <w:p>
      <w:r>
        <w:t>A/1165/2007 - 17/18 - d'heures par semaine depuis 2003-2004. La lecture des agendas confirme cette très forte diminution d'activités. On peut relever, en effet, par pointage le nombre de rendez-vous suivants : janvier 1997, 20 à 25 rendez-vous par jour ; mars 1998, neuf à 11 rendez-vous par jour ; septembre 1998 de quatre à neuf rendez-vous par jour ; janvier 2003, environ huit rendez-vous par jour quelquefois dans la semaine ; mars 2003, huit rendez-vous au maximum par jour, beaucoup de jour sans aucun rendez- vous ; juin 2003, cinq rendez-vous au maximum par jour, pratiquement absent du cabinet tout le mois ; septembre 2003, cinq à huit rendez-vous par jour, beaucoup de jour sans rendez-vous ; janvier 2006, de zéro à huit rendez-vous par jour, beaucoup de jour sans rendez-vous. On voit ici la mise en œuvre de la capacité résiduelle de travail retenue par les experts, soit environ 50 % à partir de courant 1998, une période pratiquement sans capacité résiduelle puis une capacité résiduelle de travail de maximum 20 % depuis courant 2003. C'est donc la méthode décrite sous lettre d) qui doit s'appliquer ici, car les conditions requises pour assimiler le revenu effectif au revenu d'invalide, en l'occurrence pour assimiler le taux de l'incapacité de travail au taux d'invalidité, sont réunies. En effet, lorsque le recourant pratique quatre à cinq massages par jour deux à trois fois dans la semaine, alors qu'il pratiquait 20 à 25 massages par jour cinq jours par semaine, sa perte de gain - encore une fois la sienne propre et non celle de l'entreprise - est directement relative à cette proportion. On arriverait en effet à ce résultat si on chiffrait les honoraires facturés dans les deux cas et que l'on compare les deux revenus. Si par ailleurs le recourant devait prendre un emploi salarié dans un cabinet de physiothérapeute, il aurait la même capacité résiduelle de travail, et la même perte de gain. Il est vraisemblable, en outre, que le recourant poursuive l'activité qu'il a actuellement dans son cabinet, comme il est très probable qu'il l'aurait poursuivie sans l'accident.</w:t>
      </w:r>
    </w:p>
    <w:p>
      <w:r>
        <w:rPr>
          <w:b/>
        </w:rPr>
        <w:t>E. 9</w:t>
      </w:r>
    </w:p>
    <w:p>
      <w:r>
        <w:t>Par conséquent, il y a lieu de reconnaître au recourant une perte de gain de 100 % du jour de l'accident, (août 1997) jusqu'au 13 octobre 1997, de 75 % jusqu'au mois de mars 1998, de 50 % depuis le mois de mars 1998 jusqu'à l'automne 2002, et de plus de 80 % depuis lors. En application des règles légales susmentionnées, le recourant aurait dès lors droit à une demie rente d'invalidité du mois d'août 1998 au mois d'août 2002, et à une rente entière d'invalidité depuis le mois de septembre 2002. Vu toutefois l'art. 48 al. 2 LAI, le droit à la rente ne peut remonter qu'aux 12 mois qui précèdent le dépôt de la demande de prestations, qui date du 23 mars 2002. Le droit à la rente prend donc effet au mois de mars 2001.</w:t>
      </w:r>
    </w:p>
    <w:p>
      <w:r>
        <w:rPr>
          <w:b/>
        </w:rPr>
        <w:t>E. 10</w:t>
      </w:r>
    </w:p>
    <w:p>
      <w:r>
        <w:t>Le recourant, qui obtient gain de cause, a droit à des dépens, fixés en l'espèce à 3'000 fr. L'OCAI sera par ailleurs condamné au versement de l'émolument.</w:t>
      </w:r>
    </w:p>
    <w:p>
      <w:r>
        <w:t>A/1165/2007 - 18/18 -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