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ATAS/568/2011 vom 31. Mai 2011</w:t>
      </w:r>
    </w:p>
    <w:p>
      <w:r>
        <w:t>GE Cour de justice, 2011-05-31, FR</w:t>
      </w:r>
    </w:p>
    <w:p>
      <w:r>
        <w:rPr>
          <w:b/>
        </w:rPr>
        <w:t xml:space="preserve">Quelle: </w:t>
      </w:r>
      <w:r>
        <w:t>https://mcp.opencaselaw.ch/entscheid/ge_gerichte_ATAS_568_2011</w:t>
      </w:r>
    </w:p>
    <w:p>
      <w:r>
        <w:t>FR: GE_GERICHTE ATAS/568/2011 du 31 mai 2011</w:t>
      </w:r>
    </w:p>
    <w:p>
      <w:r>
        <w:t>IT: GE_GERICHTE ATAS/568/2011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w:t>
      </w:r>
    </w:p>
    <w:p>
      <w:r>
        <w:t>A/711/2010 - 8/14 -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A/711/2010 - 9/14 -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A/711/2010 - 10/14 -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A/711/2010 - 11/14 -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 recourant fait grief à l'administration d'avoir fondé son appréciation de sa capacité de travail sur le rapport d'expertise bidisciplinaire des Drs P_________ et Q_________ dont il estime qu'il ne saurait se voir reconnaître pleine valeur probante. Le recourant reproche en substance au rhumatologue d'avoir écarté le diagnostic de capsulose rétractile sans procéder à un examen radiologique, d'avoir sous-estimé ses problèmes cervicaux, d'avoir nié l'existence d'une instabilité ligamentaire alors qu'une postériorisation pathologique du diamètre de croisement a été mise en évidence et au psychiatre, d'avoir sous-estimé son état également en se basant uniquement sur le fait qu'il a préservé une certaine vie sociale. Enfin, il relève que son problème d'apnées du sommeil n'a pas été investigué. Il y a tout d'abord lieu de constater que le rapport d'examen des Drs P_________ et Q_________ se fonde sur une anamnèse détaillée, un examen clinique du recourant et tient compte des plaintes rapportées par ce dernier. Il a été établi en pleine connaissance du dossier. Quant à ses conclusions, dont la motivation a été encore complétée par les médecins en date du 19 octobre 2009 et au cours des enquêtes, elles apparaissent convaincantes. Les médecins se sont en particulier exprimés sur les différents reproches formulés par le recourant. S’agissant du scanner pratiqué le 1er juillet 2007 - dont les experts ont souligné qu’il était postérieur de sept mois à l’accident potentiellement responsable et antérieur de plus de dix-huit mois à leur expertise - ils ont expliqué qu'une postériorisation pathologique des diamètres de croisement au niveau C1-C2 telle que constatée peut effectivement correspondre à une instabilité ligamentaire mais que celle-ci n'a cependant pas été visualisée sur les ligaments les plus souvent incriminés. Qui plus est, les axes normaux en C0-C1 et les clichés fonctionnels radiographiques du 30 avril 2007 n’ont montré aucune instabilité. Enfin, les experts n'ont observé aucun signe clinique d’instabilité cervicale au moment de leur examen. Ces explications apparaissent convaincantes. Certes, le Dr M_________ a indiqué en audience que selon lui, une telle instabilité serait susceptible d'expliquer les douleurs ressenties, mais il a admis qu'il ne s'agissait là que d'une hypothèse très vraisemblable, ainsi que cela ressort d'ailleurs de l'examen pratiqué en 2007 qui conclut que la postériorisation constatée "peut correspondre à une instabilité ligamentaire". Or, il ressort des explications des experts que l'examen clinique et les radiographies ne permettent pas de valider cette hypothèse. Un nouvel examen</w:t>
      </w:r>
    </w:p>
    <w:p>
      <w:r>
        <w:t>A/711/2010 - 12/14 - similaire à celui pratiqué en 2007 s'avère inutile dans la mesure où il ne pourra aboutir qu'à une nouvelle hypothèse, dont on a vu qu'elle n'a pu être vérifiée par d'autres biais. Quant à la capsulose rétractile des deux épaules révélée par l’échographie du 5 juin 2008 - dont les experts ont souligné qu'elle était antérieure de quatorze mois à leur examen - ils ont expliqué que ce type d’atteinte évolue et guérit dans un laps de temps variant entre six et dix-huit mois. L'examen clinique a permis de conclure à sa guérison, dans le cas de l'assuré, vu les rotations externes symétriques et normales à 80%. Quant à l’aspect infiltré des téguments et du tissu cellulo- graisseux sous-cutané, ils ont expliqué qu'il est souvent observé en cas de douleurs chroniques - dont ils ont souligné ne pas contester la réalité. Sur le plan psychique, les experts ont relevé que le Dr L__________ avait retenu en mai 2008 déjà le diagnostic d’épisode dépressif moyen et d’anxiété généralisée, qui contrastait déjà avec l’appréciation du Dr O_________ qui, quelques jours plus tard, avait conclu, lui, à une dysthymie. Les experts ont souligné qu'au moment de l'hospitalisation de l'assuré, en décembre 2008, les médecins avaient décrit une amélioration de la thymie, un meilleur élan vital, puis une évolution lentement favorable. L'expert psychiatre a expliqué de manière circonstanciée les raisons pour lesquelles il a écarté le diagnostic d’épisode dépressif moyen retenu par le psychiatre traitant, expliquant qu'au vu de la description faite par ce dernier (thymie triste, rumination, anxiété importante, perte d’appétit, troubles du sommeil, difficultés à gérer le quotidien et à se projeter dans l’avenir), les critères de la CIM-</w:t>
      </w:r>
    </w:p>
    <w:p>
      <w:r>
        <w:rPr>
          <w:b/>
        </w:rPr>
        <w:t>E. 10</w:t>
      </w:r>
    </w:p>
    <w:p>
      <w:r>
        <w:t>ne sont pas remplis. Le Dr Q_________ a relevé que des symptômes tels que la perte d’appétit se basent sur une description subjective de l’assuré, description qui s’est cependant avérée peu fiable car souvent incohérente avec les éléments objectifs relevés lors de l’examen psychiatrique (l'expert a ainsi ont noté une prise de poids de l'assuré malgré la description d’une diminution de l’appétit, une participation de plus en plus active à l’examen et une maîtrise sans difficulté majeure des tests de concentration et d’attention malgré la diminution d’énergie alléguée ou encore le fait que l'assuré, qui se plaint d'un isolement social, décrit par ailleurs une vie quotidienne marquée par des rencontres régulières avec des amis de longue date ainsi que des relations de passage et des excursions). Quant aux difficultés à se projeter dans l’avenir décrites par le psychiatre traitant, le Dr Q_________ a dit avoir constaté quant à lui que, sous la condition d’une réponse positive à sa revendication aux prestations de l’AI, l’assuré était resté capable de se projeter dans l’avenir sans pessimisme. Enfin, il a rappelé que l’échelle de Hamilton sur laquelle le psychiatre traitant se base pour appuyer son diagnostic nécessite toujours la pose du diagnostic préalable d’état dépressif car sept des dix- huit critères se basent uniquement sur les déclarations subjectives de l’assuré. En conclusion, le Dr Q_________ a maintenu qu'en l'occurrence, le degré de gravité des symptômes dépressifs réactionnels de l’assuré ne dépasse pas celui d’un épisode dépressif léger. Ces explications apparaissent elles aussi convaincantes,</w:t>
      </w:r>
    </w:p>
    <w:p>
      <w:r>
        <w:t>A/711/2010 - 13/14 - d'autant que les conclusions du Dr Q_________ rejoignent celles du Dr O_________ qui, lui aussi, avait conclu à une dysthymie. A cet égard on relèvera que les explications du psychiatre traitant le sont beaucoup moins, par exemple lorsqu'il justifie l'isolement social de son patient par le fait que seuls quelques amis lui sont restés fidèles et qu'il n'a plus les moyens financiers de sortir, éléments dont on voit mal quel est le rapport avec l'état psychique de l'intéressé. Enfin, les apnées du sommeil invoquées par le recourant ne nécessitent pas d'investigations complémentaires puisqu'elles ne sont aucunement contestées. Certes, tant le Dr M_________ que le Dr S_________ ont indiqué que ces troubles pouvaient avoir une influence sur l'état psychique de l'assuré. Cependant, force est de constater au vu des conclusions de l'expert psychiatre que cet état n'atteint pas un degré de gravité tel qu'il puisse être considéré comme invalidant. Quant au Dr T_________, il admet expressément que, d'un point de vue strictement neurologique, aucun déficit n'a pu être mis en évidence. Le seul élément auquel il se réfère est l'inflammation démontrée par l'échographie du 5 juin 2008 également observée par le Dr P_________, qui a néanmoins expliqué que l’aspect infiltré des téguments et du tissu cellulo-graisseux sous-cutané est souvent observé en cas de douleurs chroniques et ne saurait être considéré comme invalidant. Il suit de ce qui précède que c'est à juste titre que l'intimé, se basant sur les conclusions du rapport d'expertise bidisciplinaire, à conclu à une pleine capacité de travail du recourant hors des périodes d'arrêt reconnues par le SMR. En conséquence, le recours est rejeté.</w:t>
      </w:r>
    </w:p>
    <w:p>
      <w:r>
        <w:t>A/711/2010 - 14/14 -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