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ATAS/567/2010 vom 26. Mai 2009</w:t>
      </w:r>
    </w:p>
    <w:p>
      <w:r>
        <w:t>GE Cour de justice, 2009-05-26, FR</w:t>
      </w:r>
    </w:p>
    <w:p>
      <w:r>
        <w:rPr>
          <w:b/>
        </w:rPr>
        <w:t xml:space="preserve">Quelle: </w:t>
      </w:r>
      <w:r>
        <w:t>https://mcp.opencaselaw.ch/entscheid/ge_gerichte_ATAS_567_2010</w:t>
      </w:r>
    </w:p>
    <w:p>
      <w:r>
        <w:t>FR: GE_GERICHTE ATAS/567/2010 du 26 mai 2009</w:t>
      </w:r>
    </w:p>
    <w:p>
      <w:r>
        <w:t>IT: GE_GERICHTE ATAS/567/2010 del 26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 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Le 1er janvier 2008 est entrée en force la novelle du 6 octobre 2006 (5ème révision AI). Du</w:t>
      </w:r>
    </w:p>
    <w:p>
      <w:r>
        <w:t>A/3789/2007 - 16/27 - point de vue temporel, sont en principe applicables les règles de droit en vigueur au moment où les faits juridiquement déterminants se sont produits et le juge des assu- rances sociales se fonde en principe, pour apprécier une cause, sur l'état de fait ré- alisé à la date déterminante de la décision litigieuse (ATF 129 V 1 consid. 1, 127 V 467 consid. 1 et les références). En ce qui a trait plus particulièrement à l’application des dispositions nouvelles de la LAI, la lettre-circulaire n° 253 du 12 décembre 2007 de l’OFFICE FEDERAL DES ASSURANCES SOCIALES reprend le principe ci-dessus évoqué. En effet, elle expose clairement que si le cas d’assurance survient avant le 1er janvier 2008, c’est l’ancien droit qui est applicable. Si la survenance du cas d’assurance a lieu par contre ultérieurement, c’est le nouveau droit qui trouve application, des facteurs ex- ternes aléatoires telle la date de dépôt de la demande ou de la décision se révélant sans influence. S’agissant des règles de procédure, elles s'appliquent sans réserve dès le jour de leur entrée en vigueur (ATF 117 V 93 consid. 6b, 112 V 360 consid. 4a; RAMA 1998 KV 37 p. 316 consid. 3b). Il s’ensuit que le cas d’espèce sera examiné à l’aune des dispositions légales dans leur teneur avant l’introduction de la 5ème révision de l’assurance-invalidité.</w:t>
      </w:r>
    </w:p>
    <w:p>
      <w:r>
        <w:rPr>
          <w:b/>
        </w:rPr>
        <w:t>E. 3</w:t>
      </w:r>
    </w:p>
    <w:p>
      <w:r>
        <w:t>Interjeté dans les forme et délai prescrits, le recours est recevable (art. 56 à 60 LPGA).</w:t>
      </w:r>
    </w:p>
    <w:p>
      <w:r>
        <w:rPr>
          <w:b/>
        </w:rPr>
        <w:t>E. 4</w:t>
      </w:r>
    </w:p>
    <w:p>
      <w:r>
        <w:t>Le litige porte sur le droit de la recourante à une rente de l’assurance-invalidité, singulièrement le taux d’invalidité qu’elle présente.</w:t>
      </w:r>
    </w:p>
    <w:p>
      <w:r>
        <w:rPr>
          <w:b/>
        </w:rPr>
        <w:t>E. 5</w:t>
      </w:r>
    </w:p>
    <w:p>
      <w:r>
        <w:t>a) Est réputée invalidité l'incapacité de gain totale ou partielle présumée perma- 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 les, est une notion économique et non médicale; ce sont les conséquences économi- ques objectives de l'incapacité fonctionnelle qu'il importe d'évaluer (ATF 110 V 275 consid. 4a, 105 V 207 consid. 2). b) Pour pouvoir calculer le degré d'invalidité, l'administration (ou le juge, s'il y a eu recours) a besoin de documents que le médecin, éventuellement aussi d'autres spé- 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A/3789/2007 - 17/27 - pour déterminer quels travaux on peut encore, raisonnablement, exiger de l'assuré (ATF 125 V consid. 4 et les références). c)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 tion, sous la forme d’un rapport ou d’une expertise, mais bel et bien son contenu (ATF 122 V 160 consid. 1c ; OMLIN, Die Invaliditätsbemessung in der obligatorischen Unfallversicherung p. 297ss.; MORGER, Unfallmedizinische Begutachtung in der SUVA, in RSAS 32/1988 p. 332ss.).</w:t>
      </w:r>
    </w:p>
    <w:p>
      <w:r>
        <w:rPr>
          <w:b/>
        </w:rPr>
        <w:t>E. 6</w:t>
      </w:r>
    </w:p>
    <w:p>
      <w:r>
        <w:t>a) Dans le cas d’espèce, la recourante a fait l’objet d’une expertise confiée au doc- teur B__________, ophtalmologue. Le rapport rendu par ce spécialiste, qui n’a au demeurant pas fait l’objet de contestation de façon directe à tout le moins, remplit les réquisits jurisprudentiels pour que lui soit reconnue une pleine force probante. Il tient en effet compte de la situation de la personne expertisée dans son ensemble, il est rédigé de façon compréhensible et ne contient pas de contradiction, les conclu- sions sont dépourvues d’ambiguïté et expliquées de manière convaincante. Ces der- nières sont d’ailleurs corroborées par les autres avis spécialisés au dossier, à savoir les rapports de l’ophtalmologue traitant et ceux émanant du Centre d’information et de réadaptation ; elles ont en outre été reconnues comme probantes par le SMR. Le Tribunal tiendra par conséquent pour établi que la recourante subit depuis toujours une diminution de sa capacité de travail de 20 %, qu’elle n’est plus en mesure de travailler dans son ancienne profession d’assistante de gestion, ni dans toute activité nécessitant l’utilisation de la vision, mais qu’elle est à même de mettre à profit une capacité de travail dans une activité adaptée. b) L’expert a fixé l’exigibilité dans l’activité adaptée à 100 %, tout en la considé- rant théorique et en qualifiant une réadaptation professionnelle d’illusoire et prati- quement impensable. La doctoresse C__________, du SMR, a repris l’exigibilité fixée en précisant qu’elle lui apparaissait peu réalisable dans le circuit économique. Quant à l’ophtalmologue traitant, il a estimé qu’une réorientation professionnelle ne</w:t>
      </w:r>
    </w:p>
    <w:p>
      <w:r>
        <w:t>A/3789/2007 - 18/27 - saurait être conseillée à sa patiente en raison des multiples atteintes ophtalmologi- ques. Dans un premier rapport de 2005, les EPI, mandatés pour évaluer les capacités pro- fessionnelles de la recourante, avaient fixé l’exigibilité à 50 %, le rendement se si- tuant à 80 %. Ils avaient pris en référence la profession de réceptionniste. En 2009, la même institution concluait à la difficulté d’entrevoir une activité réalisable dans le circuit économique normal, la fatigabilité et la faible résistance ne permettant pas d’envisager un travail à plus de 50 %. Mis à part quelques métiers très spécifiques et rares qui ne faisaient appel qu’aux capacités orales et auditives, tel le télémarke- ting, l’adaptation professionnelle et la polyvalence étaient très réduites. Enfin, le SMR a admis une incapacité de travail théorique de 50 % dans son dernier avis du 5 janvier 2010, à compter de février 2003. Il convient encore de rappeler que de l’avis unanime des spécialistes, la recourante n’est plus en mesure d’utiliser un ordinateur, aucun moyen auxiliaire ne permettant par ailleurs de pallier à ce handicap. c) Il est incontestable que les personnes ayant eu à se prononcer sur la capacité de travail résiduelle de la recourante ont fait face à de grandes difficultés pour quanti- fier celle-ci. Cela est dû aux très importantes limitations dont est affectée l’intéressée qui, si elle tente tout de même de les surpasser, provoquent des effets secondaires non négligeables (apparition d’irritations oculaires, de céphalées, etc.). En réalité, la quantification exacte de la capacité de travail résiduelle (100 %, 50 %, 50 % avec rendement de 80 %) peut demeurer indécise dans le cas présent, car la- dite capacité de travail - si tant est qu’il en subsiste une - n’est plus exploitable sur le marché économique du travail.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 fiés, tant au regard des exigences professionnelles et intellectuelles qu'au niveau des sollicitations physiques (ATF 110 V 273 consid. 4b p. 276; arrêt I 350/89 du 30 avril 1991 consid. 3b, in RCC 1991 p. 329). Lorsqu'il s'agit d'examiner dans quelle mesure un assuré peut encore exploiter éco- 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w:t>
      </w:r>
    </w:p>
    <w:p>
      <w:r>
        <w:t>A/3789/2007 - 19/27 - ché du travail, mais uniquement de se demander s'il pourrait encore exploiter sa ca- pacité résiduelle de travail lorsque les places de travail disponibles correspondent à l'offre de la main d'oeuvre (arrêt I 198/97 du 7 juillet 1998 consid. 3b et les référen- 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 cice suppose de la part de l'employeur des concessions irréalistes et que, de ce fait, il semble exclu de trouver un emploi correspondant (arrêts I 350/89 précité consid. 3b; I 329/88 du 25 janvier 1989 consid. 4a, in RCC 1989 p. 328). L’intimé, par le biais de son service de réadaptation, a considéré la recourante apte à reprendre une activité lucrative. L’OAI a en effet tenu pour exigible des activités telles que réceptionniste ou téléopératrice. Or, il est évident que de telles activités nécessitent un contrôle visuel et l’usage d’un ordinateur, tâches que la recourante n’est plus à même d’assumer même de façon sporadique. Une réceptionniste est par ailleurs souvent appelée à accompagner des visiteurs au sein de l’entreprise ou de leur montrer où se trouve tel ou tel emplacement dans le bâtiment. A l’évidence, il s’agit-là également de fonctions que l’intéressée ne peut plus assurer. A ce propos, et dans la mesure où les évaluations des EPI résultent de l’observation de la recou- rante dans des activités non conformes à ses limitations fonctionnelles (travail sur ordinateur notamment) ou partent de prémisses erronées en retenant que les profes- sions considérées ne requièrent a priori pas l’usage de l’informatique, elles ne sau- raient être suivies. Les maîtres de stage ont, cela dit, eux aussi mentionné les gran- des difficultés auxquelles la recourante est confrontée dans la recherche d’une acti- vité adaptée. Ils ont émis des doutes sérieux quant à la possibilité de réadapter l’assurée. L’employée du Centre d’information et de réadaptation a elle aussi fait part de sa perplexité face à la détermination d’une activité encore réalisable dans le circuit économique. On ne voit en effet guère vers quelle profession pourrait s’orienter l’assurée, dont l’atteinte est de surcroît évolutive et va donc en se péjo- rant. Elle ne peut se déplacer de manière sûre, tant à l’intérieur qu’à l’extérieur, et ne reconnaît pas les visages qui ne lui sont pas familiers (elle bénéficie d’ailleurs pour ce motif d’une allocation pour impotent) ; elle a besoin de maîtriser son envi- ronnement et éprouve des problèmes à organiser son travail ; une autonomie profes- sionnelle rapide est inenvisageable et les capacités en matière d’adaptation et de po- lyvalence sont très réduites ; comme déjà mentionné, elle ne peut faire usage de l’informatique, ne peut pas assumer de travail nécessitant la lecture ou l’écriture ou toute autre tâche nécessitant la vision. De l’avis des maîtres de stage, il n’existerait que de très spécifiques et rares professions à portée de la recourante. Or, la majorité desdites activités requiert une formation, qui ne semble pas non plus accessible à l’intéressée compte tenu de ses handicaps (problèmes de lecture, d’écriture, de dé- placements, de concentration, etc.).</w:t>
      </w:r>
    </w:p>
    <w:p>
      <w:r>
        <w:t>A/3789/2007 - 20/27 - On doit donc déduire de ce qui précède que le marché du travail équilibré n’offre pas un éventail de métiers suffisamment large compatibles avec les limitations fonctionnelles sévères de la recourante. Même l’activité de télémarketing implique des tâches inaccessibles à la recourante, telle la lecture de textes publicitaires aux divers interlocuteurs ou la saisie de données, notamment lors d’une commande par téléphone. Enfin, l’exercice d’une quelconque activité nécessiterait, de la part de l’employeur, une tolérance et des mesures spécifiques qu’on ne saurait lui imposer. Seules pourraient entrer en ligne de compte des professions requérant une forma- tion. Or, s’il ne fait pas de doute que la recourante dispose des facultés intellectuel- les requises pour être instruite dans un nouveau domaine de compétence, là encore, son atteinte à la santé rend plus qu’aléatoire la réussite d’une telle entreprise. Cer- tes, il existe divers moyens à la disposition des personnes malvoyantes pour pallier à leurs problèmes et achever une formation professionnelle, mais on ne saurait exi- ger d’un assuré, dans le cadre de son devoir de réduire le dommage, de s’investir dans une mesure aussi lourde. En conclusion, non seulement il s’avère que le marché équilibré du travail ne per- met pas de reclasser la recourante sans formation complémentaire, mais que de sur- croît une telle formation n’est pas exigible. Il s’ensuit que la capacité de travail ré- siduelle de travail de la recourante, vu l’impossibilité de recourir à des mesures de réadaptation, est nulle dans la sphère lucrative. On ajoutera encore que contrairement à ce que soutient l’intimé, il ne peut être re- proché à la recourante un manque de motivation dans la recherche d’une reconver- sion. La réadaptatrice de l’office a admis en audience d’enquête avoir retenu de fa- çon erronée un manque de motivation suite à la mention, par les maîtres de stage des EPI, d’un manque d’engagement. Or, de l’aveu du directeur de la réinsertion professionnelle de cette institution, l’engagement n’est pas une notion superposable à la motivation. Le défaut d’engagement relaté était lié à des raisons médicales at- testées par certificats. Du reste, tant les médecins que les spécialistes du centre d’information et de réadaptation ont fait savoir combien la recourante faisait des ef- forts en vue de surmonter son handicap et que ses stratégies d’adaptation étaient même remarquables. On ne saurait confondre absence de motivation et désarroi : la situation dans laquelle se trouve l’intéressée est à ce point compliquée qu’il est tout à fait compréhensible qu’elle peine à faire part de projets de reconversion concrets. d) Reste à déterminer depuis quand la capacité de travail n’est plus exigible. L’expert ne s’est pas prononcé clairement sur cette question et l’ophtalmologue traitant non plus. Cela étant, le docteur B__________ a déclaré qu’existait une in- capacité de travail de 20 % au moins de tout temps. Quant au docteur A___________, il n’a pas mentionné d’arrêt de travail dans son rapport initial à l’intimé, exposant que sa patiente bénéficiait déjà, à l’époque, d’un congé materni- té. Dans la mesure où les empêchements relatés par ce médecin - qui n’ont pas été remis en question - n’ont pas véritablement variés dans le temps, on peut prendre</w:t>
      </w:r>
    </w:p>
    <w:p>
      <w:r>
        <w:t>A/3789/2007 - 21/27 - comme moment déterminant la date de son rapport initial, soit février 2003. C’est d’ailleurs la date à laquelle s’est référé le SRM dans ses avis du 15 février 2006 (début de l’aptitude à la réadaptation) et du 5 janvier 2010 (début de l’incapacité de travail de 50 %). L’ensemble des circonstances permet en effet de considérer qu’à partir de cette date, la recourante n’était plus capable de reprendre son travail et ne pouvait plus mettre à profit une capacité de travail quelconque sur le marché équili- bré du travail. Le fait que l’enquêtrice à qui a été confié l’examen des empêche- ments dans le ménage se soit posé la question d’un éventuel salaire social va éga- lement dans ce sens.</w:t>
      </w:r>
    </w:p>
    <w:p>
      <w:r>
        <w:rPr>
          <w:b/>
        </w:rPr>
        <w:t>E. 7</w:t>
      </w:r>
    </w:p>
    <w:p>
      <w:r>
        <w:t>a) La recourante fait ensuite grief à l’intimé d’avoir considéré que sans atteinte à la santé, elle ne travaillerait qu’à 80 %.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En pratique, on tiendra compte de l’évolution de la situation jusqu’au prononcé de la décision administrative liti- gieuse, en admettant la reprise hypothétique d’une activité lucrative partielle ou complète si cette éventualité présente un degré de vraisemblance prépondérante. Pour savoir si un assuré doit être considéré comme une personne exerçant une acti- vité à plein temps ou à temps partiel, respectivement pour déterminer la part de l’activité lucrative par rapport à celle consacrée aux travaux ménagers, il convient d’examiner ce que ferait l’assuré dans les mêmes circonstances s’il n’était pas at- teint dans sa santé. Pour les assurés travaillant dans le ménage, il faut ainsi tenir compte de la situation familiale, sociale et professionnelle, ainsi que des tâches d’éduction et de soins à l’égard des enfants, de l’âge, des aptitudes professionnelles, de la formation, des affinités et des talents personnel. Selon la pratique, la question du statut soit être tranchés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la vraisemblance prépondérante (ATF 125 V 150 consid. 2c, 117 V 194 consid. 3b et les références citées). c) Dans le cas présent, le Tribunal ne voit pas de raison de s’écarter de l’allégation de la recourante aux termes de laquelle ce n’est qu’en raison de son atteinte à la santé qu’elle a dû diminuer son taux d’activité à 80 %. Cela est corroboré par les</w:t>
      </w:r>
    </w:p>
    <w:p>
      <w:r>
        <w:t>A/3789/2007 - 22/27 - conclusions de l’expert B__________. Ce seul élément ne saurait toutefois aboutir à la conclusion qu’elle aurait continué à travailler à plein temps sans problème de santé. Les circonstances familiales ont subi de telles modifications ultérieurement qu’il convient d’en tenir compte. Quand bien même la situation financière de la fa- mille de la recourante et son cursus professionnel rendent vraisemblable la pour- suite d’une activité lucrative, la naissance de trois enfants entre 2002 et 2006 dans un foyer qui en comptait déjà un n’est pas anodine. Les soins et l’éducation, de même que l’organisation spécifique que requièrent des enfants en bas âge ne per- mettent pas de tenir pour hautement vraisemblable que la recourante eut pu se per- mettre de consacrer 40 heures hebdomadaires ou plus à une activité lucrative, ce d’autant que se pose aussi la question de l’utilité financière d’un tel taux d’activité lorsqu’il est nécessaire d’assumer les frais de placement en crèche des enfants. Dès lors, il appert que le statut admis par l’intimé ne souffre pas le flanc à la critique et tient équitablement compte de l’ensemble des facteurs pertinents du cas d’espèce. Le calcul du taux d’invalidité de la recourante s’effectuera donc sur la base d’une activité lucrative exercée à hauteur de 80 % à compter de son congé maternité de 2002.</w:t>
      </w:r>
    </w:p>
    <w:p>
      <w:r>
        <w:rPr>
          <w:b/>
        </w:rPr>
        <w:t>E. 8</w:t>
      </w:r>
    </w:p>
    <w:p>
      <w:r>
        <w:t>a) L’assurée critique ensuite les conclusions de l’enquête économique sur le mé- nage, singulièrement les empêchements dans l’accomplissement des travaux habi- tuels et l’incapacité de 18,3 % admise à ce titre par l’intimé. b) Selon la jurisprudence du Tribunal fédéral, une enquête ménagère effectuée au domicile de la personne assurée constitue en règle générale une base appropriée et suffisante pour évaluer les empêchements dans l’accomplissement des travaux ha- bituels. En ce qui concerne la valeur probante d’un tel rapport d’enquête, il est es- sentiel qu’il ait été élaboré par une personne qualifiée qui a connaissance de la si- tuation locale et spatiale, ainsi que des empêchements et des handicaps résultant des diagnostics médicaux. Il s’agit en outre de tenir compte des indications de la per- sonne assurée et de consigner les opinions divergentes des participants. Enfin, le contenu du rapport doit être plausible, motivé et rédigé de façon suffisamment dé- taillée en ce qui concerne les diverses limitations et correspondre aux indications relevées sur place. Lorsque le rapport constitue une base fiable de décision, le juge ne saurait remettre en cause l’appréciation de l’auteur de l’enquête que s’il est évi- dent qu’elle repose sur des erreurs manifestes (ATF 128 V 93). On ajoutera encore que pour satisfaire à son obligation de réduire le dommage (ATF 129 V 463 consid. 4.2), une personne qui s’occupe du ménage doit faire ce que l’on peut raisonnable- 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 cessitent beaucoup plus de temps, on doit attendre de la personne assurée qu’elle répartisse mieux son travail (soit en aménageant des pauses, soit en repoussant les travaux peu urgents) et qu’elle recoure, dans une mesure habituelle, à l’aide des</w:t>
      </w:r>
    </w:p>
    <w:p>
      <w:r>
        <w:t>A/3789/2007 - 23/27 - membres de sa famille. Dans le cadre de l’évaluation de l’invalidité dans les tra- vaux habituels, l’aide des membres de la famille (en particulier des enfants) va au- delà de ce qu’on peut attendre de ceux-ci, si la personne assurée n’était pas atteinte dans sa santé (arrêts non publiés du TF du 14 janvier 2005, I 308/04, et du 11 août 2003, I 681/02, notamment). Il y a lieu en effet de se demander quelle attitude adopterait une famille raisonnable, dans la même situation et les mêmes circonstan- ces, si elle devait s’attendre à ne recevoir aucune prestation d’assurance. Le cas échéant, il peut en résulter une image déformée de l’état de santé réel de la per- sonne assurée (voir aussi MEYER-BLASER, Rechtsprechung des Bundesgerichts zum IVG, Zurich 1997, p. 222). c) In casu, le caractère conforme à la réalité des observations de l’enquêtrice, telles que consignées dans le rapport d’enquête du 30 octobre 2006, de même que l’impartialité de cette dernière ne sont pas remises en cause par la recourante, de sorte qu’il n’y a pas lieu de procéder à une nouvelle enquête économique sur le mé- nage pour ce motif. L’intéressée n’avance aucun argument pertinent qui justifie que l’on s’écarte de la pondération des champs d’activité ou de l’évaluation des empêchements, dûment consignés et explicités dans le rapport d’enquête. Elle se contente d’apporter sa pro- pre évaluation de l’invalidité dans l’exécution des travaux ménagers, qu’elle fixe à 50 %. Une telle façon de faire ne saurait emporter la conviction, ce d’autant que le rapport d’enquête remplit tous les critères exposés ci-avant pour que lui soit recon- nu pleine valeur probante. Certes, l’évaluation globale du handicap peut paraître sévère, mais elle tient équitablement compte des aménagements - qualifiés de re- marquables par certains médecins - auxquels a procédé la recourante de sa propre initiative, ainsi que de l’aide raisonnablement exigible des membres de la famille. A ce titre, si d’aventure les beaux-parents de la recourante ne devaient plus être en mesure de l’aider (notamment pour effectuer les courses une fois par semaine) et le mari devait changer son horaire de travail, il se justifierait alors de revoir l’évaluation des empêchements dans le ménage. Il en ira de même lorsque l’ensemble des enfants seront scolarisés et participeront à des activités para ou extra-scolaires, ce qui nécessitera un investissement important en temps pour l’aide aux devoirs et les déplacements. Tel n’était toutefois pas le cas au moment détermi- nant de la décision litigieuse. C’est par conséquent le taux de 18,3 % (pour un plein temps) qui sera retenu par le Tribunal de céans et ce à partir de la même date que le taux déterminant d’invalidité dans la sphère professionnelle, soit février 2003.</w:t>
      </w:r>
    </w:p>
    <w:p>
      <w:r>
        <w:rPr>
          <w:b/>
        </w:rPr>
        <w:t>E. 9</w:t>
      </w:r>
    </w:p>
    <w:p>
      <w:r>
        <w:t>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w:t>
      </w:r>
    </w:p>
    <w:p>
      <w:r>
        <w:t>A/3789/2007 - 24/27 - ré apprend, pour la première fois, que l'atteinte à sa santé peut ouvrir droit à des prestations d'assurance (ATF 126 V 9 consid. 2b, 160 consid. 3a, 118 V 82 consid. 3a et les références). L'entrée en vigueur de la 4ème révision de la LAI, le 1er janvier 2004, a modifié la teneur de l'art. 28 al. 1 LAI relatif à l'échelonnement des rentes selon le taux d'inva- 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 che, les principes développés jusqu'alors par la jurisprudence en matière d'évalua- tion de l'invalidité conservent leur validité, que ce soit sous l'empire de la LPGA ou de la 4ème révision de la LAI (ATF 130 V 348 consid. 3.4; ATFA non publiés du 17 mai 2005, I 7/05, consid. 2, du 6 septembre 2004, I 249/04, consid. 4). En vertu de l’art. 28 al. 2ter LAI, lorsque l’assuré exerce une activité lucrative à temps partiel, l’invalidité pour cette activité est évaluée selon l’art. 16 LPGA. S’il accomplit en outre ses travaux habituels, l’invalidité est fixée selon l’al. 2bis pour cette activité-là. Dans ce cas, les parts respectives de l’activité lucrative et de l’accomplissement des travaux habituels sont déterminées ; le taux d’invalidité est calculé d’après le handicap dont la personne est affectée dans les deux domaines d’activité (méthode mixte d’évaluation de l’invalidité). Ainsi, il faut évaluer d’une part l’invalidité dans les travaux habituels par comparaison des activité (art. 27 RAI) et d’autre part l’invalidité dans une activité lucrative par comparaison des re- venus (art. 28 al. 2 LAI) ; on pourra alors déterminer l’invalidité globale d’après le temps consacré à ces deux champs d’activité (formule : [% part lucrative x % inva- lidité] + [% part ménagère x % invalidité]). b) Dans le cas présent, la recourante doit être qualifiée d’active à plein temps jus- qu’à sa seconde grossesse, élément permettant de modifier le statut (cf. consid. 7). Par la suite, soit à compter de la date du dépôt de la demande, les parts respectives des activités de la recourante ont été déterminées ci-dessus : la sphère lucrative re- présente 80 % et celle des travaux habituels 20 %. L’incapacité de travail reconnue médicalement est de 20 % depuis à tout le moins août 2001, époque à laquelle la recourante a réduit son taux d’activité pour des mo- tifs de santé. Elle est devenue totale dès février 2003. c) Conformément à l’art. 29 al. 1 aLAI, le droit à la rente naît après que la personne assurée a présenté une incapacité de travail moyenne de 40 % au moins pendant une année sans interruption notable et qui, à l’échéance de ce délai d’attente, présente encore une incapacité de gain durable de 40 % au moins. Le délai d’attente est ré- puté avoir commencé dès qu’il a été possible de constater une incapacité de travail</w:t>
      </w:r>
    </w:p>
    <w:p>
      <w:r>
        <w:t>A/3789/2007 - 25/27 - indiscutable au vu des circonstances, une réduction de la capacité de travail de 20 % étant d’ailleurs, en règle générale, déjà considérée comme significative (cf. Pratique VSI 1998, p. 126). La calcul de l’incapacité de travail moyenne et du délai d’attente peut être effectué en mois ou en jour. La formule suivante s’applique : (a mois à x % d’incapacité de travail) + (b mois à y % d’incapacité de travail) + (c mois à z % d’incapacité de travail) + … = 12 mois à 40 % au moins d’incapacité de travail. Pour les personnes qui s’occupent du ménage, la calcul du délai d’attente s’effectue uniquement sur la base de l’incapacité de travail déterminée par le médecin et non pas en fonction des limitations de l’activité constatées lors de l’enquête économique sur le ménage (cf. Circulaire sur l’invalidité et l’impotence dans l’assurance- invalidité [CIIAI], ch. 2017-2019, dans sa teneur en vigueur dès le 1er janvier 2010, applicable au cas d’espèce en raison du maintien des principes législatifs relatifs à la détermination du taux d’invalidité et du délai de carence [nouvel art. 28 LAI]). En ce qui concerne l’incapacité de travail dans la sphère lucrative, on se réfèrera au taux défini médicalement par rapport à l’activité lucrative habituelle. c) Dans le cas de la recourante, c’est une incapacité de travail de 20 % qui est à considérer jusqu’au mois de janvier 2003, puis une incapacité de travail totale. En application de la formule précitée, le délai de carence était échu en mai 2003 (9 mois à 20 % d’incapacité de travail) + (3 mois à 100 % d’incapacité de travail) = 40 % d’incapacité de travail moyenne [180% + 300% : 12 mois = 40%]. A ce moment - et depuis lors vu l’absence de modification -, le taux d’invalidité global se montait à 83,6 % ([80 % x 100 %] + [20 % x 18,3 %]). Il en résulte que la recourante a droit à une rente entière d’invalidité à compter du mois de mai 2003 (à noter qu’incapacité de travail et incapacité de gain - cette der- nière notion étant identique à celle du taux d’invalidité - devant être clairement dis- tinguées [cf. Circulaire précitée, ch. 2003], point n’est besoin que taux d’incapacité de travail moyen et taux d’invalidité se confondent pour que le second permette l’ouverture du droit aux prestations ; une telle façon de procéder aurait pour consé- quence d’allonger le délai de carence que le législateur a fixé à une année sans pro- longation possible, ce qui ne serait pas admissible).</w:t>
      </w:r>
    </w:p>
    <w:p>
      <w:r>
        <w:rPr>
          <w:b/>
        </w:rPr>
        <w:t>E. 10</w:t>
      </w:r>
    </w:p>
    <w:p>
      <w:r>
        <w:t>L’office intimé, qui succombe, s’acquittera d’une indemnité de dépens fixée à 5'000 fr. en regard du nombre et de la pertinence des écritures fournies par le man- dataire de la recourante, du nombre d’actes d’instruction et du sort de la cause. Par ailleurs, la procédure n’étant pas gratuite (art. 69 al. 1bis LAI), il sera condamné à payer un émolument de 1'000 fr.</w:t>
      </w:r>
    </w:p>
    <w:p>
      <w:r>
        <w:t>A/3789/2007 - 26/27 -</w:t>
      </w:r>
    </w:p>
    <w:p>
      <w:r>
        <w:t>A/3789/2007 - 27/27 -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