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ATAS/566/2025 vom 22. Juli 2025</w:t>
      </w:r>
    </w:p>
    <w:p>
      <w:r>
        <w:t>GE Cour de justice, 2025-07-22, FR</w:t>
      </w:r>
    </w:p>
    <w:p>
      <w:r>
        <w:rPr>
          <w:b/>
        </w:rPr>
        <w:t xml:space="preserve">Quelle: </w:t>
      </w:r>
      <w:r>
        <w:t>https://mcp.opencaselaw.ch/entscheid/ge_gerichte_ATAS_566_2025</w:t>
      </w:r>
    </w:p>
    <w:p>
      <w:r>
        <w:t>FR: GE_GERICHTE ATAS/566/2025 du 22 juillet 2025</w:t>
      </w:r>
    </w:p>
    <w:p>
      <w:r>
        <w:t>IT: GE_GERICHTE ATAS/566/2025 del 22 luglio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Selon l'art. 36 al. 2 de la loi d'application de la loi fédérale sur l'assurance-maladie du 29 mai 1997 (LaLAMal - J 3 05), la procédure devant la chambre de céans est réglée par les art. 89A à 89I de la loi sur la procédure administrative du 12 septembre 1985 (LPA - E 5 10). Interjeté dans les formes prévues par la loi (art. 89B LPA) et dans le délai de recours de 30 jours (art. 36 al. 1 LaLAMal), le recours est recevable.</w:t>
      </w:r>
    </w:p>
    <w:p>
      <w:r>
        <w:rPr>
          <w:b/>
        </w:rPr>
        <w:t>E. 2</w:t>
      </w:r>
    </w:p>
    <w:p>
      <w:r>
        <w:t>Le litige porte sur la question de savoir si c'est à juste titre que l'intimé a refusé la demande de remise des subsides indûment perçus par le recourant, singulièrement sur la question de la bonne foi de ce dernier.</w:t>
      </w:r>
    </w:p>
    <w:p>
      <w:r>
        <w:t>A/846/2025 - 5/11 -</w:t>
      </w:r>
    </w:p>
    <w:p>
      <w:r>
        <w:rPr>
          <w:b/>
        </w:rPr>
        <w:t>E. 3.1</w:t>
      </w:r>
    </w:p>
    <w:p>
      <w:r>
        <w:t>Selon l'art. 65 al. 1 LAMal, les cantons accordent une réduction de primes aux assurés de condition économique modeste. En droit genevois, les subsides sont destinés aux assurés de condition économique modeste et aux bénéficiaires de prestations complémentaires à l'AVS/AI ou de prestations complémentaires familiales (art. 20 al. l LaLAMal). Le montant des subsides dépend des limites de revenu, le revenu déterminant étant celui de résultant de la loi sur le revenu déterminant unifié du 19 mai 2005 (LRDU -J 4 06 ; art. 21 al. 1 et 3 et art. 22 LaLAMal). Aux termes de l'art. 13A du règlement d'exécution de la loi d'application de la loi fédérale sur l'assurance-maladie du 15 décembre 1997 (RaLAMal - J 3 05.01), les personnes nouvellement assujetties à l'assurance obligatoire des soins dans le canton de Genève, domiciliées à l'étranger ou arrivant dans le canton, peuvent solliciter l'octroi de subsides par une demande écrite adressée au service (al. 1). Le droit au subside est calculé sur la base du revenu déterminant du groupe familial de l'année d'ouverture du droit aux subsides, calculé conformément à l'art. 9 al. 2 LRDU, et à l'article 4 de son règlement d'exécution, du 27 août 2014 (RRDU - J 4 06.01). Les demandes doivent être adressées au service avant le 30 novembre de l'année d'ouverture du droit aux subsides (al. 5). L'art. 9 al. 2 LRDU prévoit que dans le cas où les éléments de revenus et de fortune ne sont pas disponibles, le socle du revenu déterminant unifié est calculé sur la base des revenus bruts, multipliés par un coefficient défini par voie réglementaire, et augmentés d'un quinzième de la fortune calculée en application des art. 6 et 7. Le coefficient défini par voie réglementaire s'élevait à 0.87 en 2021 (art. 4 al. 2 RRDU dans sa version alors en vigueur). Selon l'art. 13E al. 1 RaLAMal, les assurés ayant obtenu des subsides en application des art. 13A, 13B ou 13D sont tenus d'informer le service sans délai lorsque leur situation s'améliore en cours d'année de manière à avoir une incidence sur l'attribution des subsides.</w:t>
      </w:r>
    </w:p>
    <w:p>
      <w:r>
        <w:rPr>
          <w:b/>
        </w:rPr>
        <w:t>E. 3.2</w:t>
      </w:r>
    </w:p>
    <w:p>
      <w:r>
        <w:t>Conformément à l'art. 33 al. 1 LaLAMal, les subsides indûment touchés doivent être restitués en appliquant par analogie l'art. 25 LPGA. Selon cette disposition, les prestations indûment touchées doivent être restituées, la restitution ne pouvant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 arrêt du Tribunal fédéral 8C_364/2019 du 9 juillet 2020 consid. 4.1).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w:t>
      </w:r>
    </w:p>
    <w:p>
      <w:r>
        <w:t>A/846/2025 - 6/11 -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En revanche, l'intéressé peut invoquer sa bonne foi si son défaut de conscience du caractère indu de la prestation ne tient qu'à une négligence légère, notamment, en cas d'omission d'annoncer un élément susceptible d'influer sur le droit aux</w:t>
      </w:r>
    </w:p>
    <w:p>
      <w:r>
        <w:t>A/846/2025 - 7/11 -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3.3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le recourant soutient qu'il devrait pouvoir bénéficier de la remise du montant de CHF 3'600.-, étant de bonne foi et dans une situation financière difficile. Au sujet de la bonne foi, il expose que les correspondances adressées par l'intimé ne mentionnaient pas la possibilité de demander la restitution des subsides pour cause d'écart entre deux revenus et que la faute professionnelle de l'un des employés l'ayant mal renseigné s'oppose à retenir qu'il aurait commis une négligence grave. Le temps qu'il consacre à la collectivité publique par le biais d'heures de bénévolat permet aussi de rejeter l'accusation d'intention malicieuse et de comportement dolosif, tout comme le fait qu'il était préalablement domicilié dans un canton qui ne disposait pas de la même réglementation en matière de subsides à l'assurance-maladie.</w:t>
      </w:r>
    </w:p>
    <w:p>
      <w:r>
        <w:rPr>
          <w:b/>
        </w:rPr>
        <w:t>E. 4.1</w:t>
      </w:r>
    </w:p>
    <w:p>
      <w:r>
        <w:t>Contrairement à ce que soutient le recourant, il peut être constaté que les informations communiquées par l'intimé mentionnaient clairement la possibilité, pour le service, de réclamer la restitution d'éventuels montants perçus indûment en raison de l'écart entre les revenus annoncés pour calculer le subside et les revenus</w:t>
      </w:r>
    </w:p>
    <w:p>
      <w:r>
        <w:t>A/846/2025 - 8/11 - finalement perçus. La décision du 2 mars 2021 stipulait en effet expressément que le subside était calculé de manière provisoire, conformément à l'art. 13A al. 2 RaLaMal, ce qui se justifiait par le fait que le recourant était en provenance d'un autre canton et ne disposait pas encore d'un RDU connu. Il était également précisé que si, lors de l'émission de l'avis de taxation 2021, son RDU était finalement supérieur d'au moins CHF 10'000.- au revenu actuel, les subsides seraient considérés comme indûment touchés et pourraient faire l'objet d'une demande de restitution.</w:t>
      </w:r>
    </w:p>
    <w:p>
      <w:r>
        <w:rPr>
          <w:b/>
        </w:rPr>
        <w:t>E. 4.2</w:t>
      </w:r>
    </w:p>
    <w:p>
      <w:r>
        <w:t>L'argumentation du recourant se concentre sur le fait qu'il aurait été induit en erreur par le mauvais renseignement donné par l'un des employés de l'intimé, qui, selon ses dires, alors qu'il voulait faire annuler le subside en raison de l'évolution favorable de sa situation financière, lui aurait dit qu'une telle annulation n'était pas possible et ne l'aurait pas informé que les prestations versées pouvaient faire l'objet d'une restitution. Informé de ce fait, le recourant aurait, indique-t-il, immédiatement communiqué à l'intimé l'amélioration de sa situation par écrit. S'agissant tout d'abord de l'allégation du recourant selon laquelle il aurait communiqué à l'intimé dès avril 2021, par téléphone, les changements au sujet de sa situation professionnelle (passage du chômage à un emploi en contrat de durée déterminée), il sied de constater qu'il ne fournit aucun détail à ce propos ni aucun début de preuve de l'appel téléphonique. Dans ces circonstances, en vertu de l'art. 8 CC voulant que chaque partie supporte le fardeau de la preuve des faits qu'elle allègue, le téléphone en question et l'éventuelle information donnée au sujet de l'amélioration de sa situation financière ne peuvent être considérés comme prouvés, même sous l'angle de la vraisemblance prépondérante (pour une analyse similaire, cf. ATAS/1051/2023 du 22 décembre 2023 consid. 9.1). À titre superfétatoire, la chambre de céans relève que dans l'hypothèse où les faits dont se prévaut le recourant auraient été prouvés, cela n'aurait cependant pas entraîné l'admission de sa bonne foi. En effet, au vu de ce que la décision du 2 mars 2021 précisait très clairement que l'octroi des subsides avait été calculé en fonction d'un revenu provisoire et pourrait faire l'objet d'une demande de restitution après émission de l'avis de taxation 2021 en cas de différence de revenu de plus de CHF 10'000.-, le recourant se serait à tout le moins rendu coupable d'une négligence grave en se fiant à la brève information donnée par oral par un collaborateur de l'intimé. Confronté à des renseignements contradictoires, le recourant – qui n'allègue pas ne plus avoir été en possession de la décision précitée et qui, selon toute vraisemblance, se doutait de ce qu'une modification de sa situation financière pouvait impacter le droit au subside faute de quoi il n'aurait pas téléphoné à l'autorité – aurait dû faire preuve d'une plus grande vigilance et aurait à tout le moins dû vérifier le contenu de la décision qu'il avait reçue. Si cela était impossible, il était exigible de lui qu'il sollicite une confirmation écrite de l'information donnée oralement par le collaborateur de l'intimé ou qu'il transmette spontanément ses nouveaux éléments de revenu.</w:t>
      </w:r>
    </w:p>
    <w:p>
      <w:r>
        <w:t>A/846/2025 - 9/11 - Dans ces circonstances, il ne peut être retenu que le recourant aurait seulement violé de manière légère son obligation d'annoncer une augmentation de ses revenus. La condition de la bonne foi pour obtenir une remise de la dette de CHF 3'600.- n'est ainsi pas remplie.</w:t>
      </w:r>
    </w:p>
    <w:p>
      <w:r>
        <w:rPr>
          <w:b/>
        </w:rPr>
        <w:t>E. 4.3</w:t>
      </w:r>
    </w:p>
    <w:p>
      <w:r>
        <w:t>Au surplus, le fait que le recourant ait préalablement été domicilié dans le canton de Vaud et que la législation de ce canton ne contiendrait, selon lui, pas de disposition similaire à celle du droit genevois concernant la restitution des prestations indûment touchées n'est pas pertinent, au vu de la compétence réservée aux cantons en matière de subsides à l'assurance-maladie. Selon la jurisprudence, les cantons jouissent en effet d'une grande liberté dans l'aménagement de la réduction des primes, domaine non réglé par le droit fédéral, les règles édictées par les cantons en cette matière constituant du droit cantonal autonome (ATF 131 V 202 consid. 3.2.2 ; 124 V 19 consid. 2). L'élément cité par le recourant selon lequel il réalise des heures de bénévolat pour la collectivité publique n'est pas non plus déterminant pour juger de sa bonne foi au regard d'une omission d'annoncer un changement de situation patrimoniale, étant souligné qu'il s'agit là d'une question juridique ne comportant aucune connotation morale (ATAS/1166/2013 consid. 8).</w:t>
      </w:r>
    </w:p>
    <w:p>
      <w:r>
        <w:rPr>
          <w:b/>
        </w:rPr>
        <w:t>E. 4.4</w:t>
      </w:r>
    </w:p>
    <w:p>
      <w:r>
        <w:t>Enfin, examinés sous l'angle de la protection de la bonne foi au sens de l'art. 9 de la Constitution fédérale de la Confédération suisse du 18 avril 1999 (Cst. - RS 101), les arguments du recourant doivent aussi être rejetés.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 réglementation n'ait pas changé depuis le moment où l'assurance a été donnée que l'assuré se soit fondé sur les assurances ou le comportement dont il se prévaut pour prendre des dispositions auxquelles il ne saurait renoncer sans subir de préjudice (ATF 143 V 95 consid. 3.6.2 ; 131 II 627 consid. 6.1 et les références). Dans les cas où l'intéressé a utilisé des prestations versées indûment pour se procurer des biens et des services plutôt que d'épargner les montants perçus, cela ne suffit pas pour conclure que cette dernière condition est réalisée, dès lors qu'il s'agit uniquement de l'utilisation de fongibles (RSAS 1999 p. 384 consid. 4b).</w:t>
      </w:r>
    </w:p>
    <w:p>
      <w:r>
        <w:t>A/846/2025 - 10/11 - Or, en l'espèce, non seulement le recourant devait-il reconnaître immédiatement l'inexactitude du renseignement donné, selon ses allégations, par téléphone par un employé de l'intimé (cf. consid. 4.2 ci-dessus), mais encore ne se prévaut-il pas d'avoir pris sur cette base des dispositions préjudiciables sur lesquelles il ne pourrait plus revenir, ce qui, s'agissant de l'utilisation de fongible, n'est pas reconnu par la jurisprudence.</w:t>
      </w:r>
    </w:p>
    <w:p>
      <w:r>
        <w:rPr>
          <w:b/>
        </w:rPr>
        <w:t>E. 4.5</w:t>
      </w:r>
    </w:p>
    <w:p>
      <w:r>
        <w:t>La condition de la bonne foi faisant défaut, il n'est pas nécessaire d'examiner si la situation financière du recourant est difficile au sens de la loi.</w:t>
      </w:r>
    </w:p>
    <w:p>
      <w:r>
        <w:rPr>
          <w:b/>
        </w:rPr>
        <w:t>E. 5</w:t>
      </w:r>
    </w:p>
    <w:p>
      <w:r>
        <w:t>Au vu de ce qui précède, le recours doit être rejeté. La procédure est gratuite (art. 89H al. 1 LPA cum art. 36 al. 2 LaLAMal).</w:t>
      </w:r>
    </w:p>
    <w:p>
      <w:r>
        <w:t>A/846/2025 - 11/11 -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