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ATAS/566/2024 vom 11. Juli 2024</w:t>
      </w:r>
    </w:p>
    <w:p>
      <w:r>
        <w:t>GE Cour de justice, 2024-07-11, FR</w:t>
      </w:r>
    </w:p>
    <w:p>
      <w:r>
        <w:rPr>
          <w:b/>
        </w:rPr>
        <w:t xml:space="preserve">Quelle: </w:t>
      </w:r>
      <w:r>
        <w:t>https://mcp.opencaselaw.ch/entscheid/ge_gerichte_ATAS_566_2024</w:t>
      </w:r>
    </w:p>
    <w:p>
      <w:r>
        <w:t>FR: GE_GERICHTE ATAS/566/2024 du 11 juillet 2024</w:t>
      </w:r>
    </w:p>
    <w:p>
      <w:r>
        <w:t>IT: GE_GERICHTE ATAS/566/2024 del 11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</w:t>
      </w:r>
    </w:p>
    <w:p>
      <w:r>
        <w:rPr>
          <w:b/>
        </w:rPr>
        <w:t>E. 6</w:t>
      </w:r>
    </w:p>
    <w:p>
      <w:r>
        <w:t>Vu ce qui précède, il ne sera accordé au recourant ni effet suspensif à son recours ni toutes autres mesures provisionnelles.</w:t>
      </w:r>
    </w:p>
    <w:p>
      <w:r>
        <w:rPr>
          <w:b/>
        </w:rPr>
        <w:t>E. 7</w:t>
      </w:r>
    </w:p>
    <w:p>
      <w:r>
        <w:t>La suite de la procédure est réservée.</w:t>
      </w:r>
    </w:p>
    <w:p>
      <w:r>
        <w:t>A/1497/2024 - 6/6 - PAR CES MOTIFS, LA CHAMBRE DES ASSURANCES SOCIALES : Statuant selon l’art. 21 al. 2 LPA-GE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