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ATAS/566/2018 vom 21. Juni 2018</w:t>
      </w:r>
    </w:p>
    <w:p>
      <w:r>
        <w:t>GE Cour de justice, 2018-06-21, FR</w:t>
      </w:r>
    </w:p>
    <w:p>
      <w:r>
        <w:rPr>
          <w:b/>
        </w:rPr>
        <w:t xml:space="preserve">Quelle: </w:t>
      </w:r>
      <w:r>
        <w:t>https://mcp.opencaselaw.ch/entscheid/ge_gerichte_ATAS_566_2018</w:t>
      </w:r>
    </w:p>
    <w:p>
      <w:r>
        <w:t>FR: GE_GERICHTE ATAS/566/2018 du 21 juin 2018</w:t>
      </w:r>
    </w:p>
    <w:p>
      <w:r>
        <w:t>IT: GE_GERICHTE ATAS/566/2018 del 21 giugno 2018</w:t>
      </w:r>
    </w:p>
    <w:p>
      <w:pPr>
        <w:pStyle w:val="Heading2"/>
      </w:pPr>
      <w:r>
        <w:t>Erwägungen</w:t>
      </w:r>
    </w:p>
    <w:p>
      <w:r>
        <w:rPr>
          <w:b/>
        </w:rPr>
        <w:t>E. 12</w:t>
      </w:r>
    </w:p>
    <w:p>
      <w:r>
        <w:t>septembre 2013 et procès-verbal d’instruction du 9 octobre 2014, p. 3). En 2011, il a ainsi passé entre 10 et 15 heures dans les bureaux de la fiduciaire (cf. procès- verbal d’instruction du 24 septembre 2014, p. 9). Selon la Dresse L_____, le demandeur a procédé au contrôle des déclarations pendant environ 20 heures entre février et juin, ainsi qu’en septembre 2011 et pendant environ 15 heures, entre février et juin 2012 (rapport de la Dresse L_____ du 21 juin 2013). Au demeurant, la Dresse L_____ a indiqué que son opinion quant à la capacité de travail de son patient n’était pas susceptible d’être modifiée par l’exercice d’une activité accessoire de quelques heures par année et sous la contrainte. Lors de l’audience d’instruction du 26 mars 2015, la doctoresse a précisé qu’elle pensait le demandeur apte à travailler une heure de temps à autre, sur demande, mais ne l’estimait pas capable de travailler une semaine entière (cf. le procès-verbal d’instruction du 26 mars 2015, p. 13). Au vu de ce qui précède, force est de constater que le dossier ne permet pas de retenir, au degré de la vraisemblance prépondérante, que le demandeur aurait exercé des activités typiques de sa profession, de manière systématique ou encore à un niveau professionnel et dans des conditions sereines. L’absence du demandeur semble d’ailleurs s’être fait ressentir sur le chiffre d’affaires, celui-ci étant passé de CHF 242'964.- en 2010 à CHF 118'666.- en 2011 (cf. ordonnance de classement du 4 novembre 2016 p. 10). Au demeurant, bien qu’informée de l’existence de coups de mains à son épouse, la Dresse L_____ a persisté à qualifier son patient de totalement incapable d’exercer sa profession (rapport de la Dresse L_____ du 21 juin 2013). Aucune prétention frauduleuse ne peut ainsi être retenue à l’encontre du demandeur.</w:t>
      </w:r>
    </w:p>
    <w:p>
      <w:r>
        <w:rPr>
          <w:b/>
        </w:rPr>
        <w:t>E. 13</w:t>
      </w:r>
    </w:p>
    <w:p>
      <w:r>
        <w:t>Reste à déterminer si les pièces au dossier confirment une incapacité totale de travailler. a.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arrêt du Tribunal fédéral 4A_491/2008 du 4 février 2009 consid. 3.1). En revanche, l’art. 8 CC ne régit pas l’appréciation des preuves, de sorte qu’il ne prescrit pas quelles sont les mesures probatoires qui doivent être ordonnées (ATF 127 III 519 consid. 2a), ni ne dicte au juge comment forger sa conviction (ATF 128 III 22 consid. 2d ; ATF 127 III 248 consid. 3a ; ATF 127 III 519</w:t>
      </w:r>
    </w:p>
    <w:p>
      <w:r>
        <w:t>A/2164/2011 - 26/34 -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 ATF 129 III 18 consid. 2.6 ; arrêt du Tribunal fédéral 4A_5/2011 du 24 mars 2011 consid. 3.1). En tant que règle sur le fardeau de la preuve, elle ne s’applique que si le juge, à l’issue de l’appréciation des preuves, ne parvient pas à se forger une conviction dans un sens positif ou négatif (ATF 132 III 626 consid. 3.4 ;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La partie qui n’a pas la charge de la preuve a le droit d’apporter une contre-preuve. Elle cherchera ainsi à démontrer des circonstances propres à faire naître chez le juge des doutes sérieux sur l’exactitude des allégations formant l’objet de la preuve</w:t>
      </w:r>
    </w:p>
    <w:p>
      <w:r>
        <w:t>A/2164/2011 - 27/34 -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b.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 Par ailleurs, le juge doit avoir égard au fait que la relation de confiance unissant un patient à son médecin traitant peut influencer l’objectivité ou l’impartialité de celui- ci ; cela ne justifie cependant pas en soi d’évincer tous les avis émanant des médecins traitants. Il faut effectuer une appréciation globale de la valeur probante du rapport du médecin-traitant au regard des autres pièces médicales (ATF 125 V 351 consid. 3b/cc ;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ATF 135 V 465 consid. 4.4 ; arrêt du Tribunal fédéral 4A_172/2013 du 1er octobre 2013</w:t>
      </w:r>
    </w:p>
    <w:p>
      <w:r>
        <w:t>A/2164/2011 - 28/34 - consid. 3.3).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(ATA/143/1999 du 2 mars 1999). c. 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 L’expertise en tant que moyen de preuve admis au sens de l’art. 168 al. 1 let. d CPC ne vise que l’expertise judiciaire au sens de l’art 183 al. 1 CPC. Cela étant, le juge civil peut ordonner l’apport d’une expertise mise en œuvre dans le cadre d’une autre procédure. La valeur probante de telles expertises n’est pas remise en question du fait que le droit d’être entendu des parties au procès doit être garanti, lequel comprend outre une détermination sur le contenu de l’expertise (art. 187 al. 4 CPC) également la possibilité de s’exprimer sur la personne de l’expert (art. 183 al. 2 CPC) et de poser des questions complémentaires (art. 185 al. 2 CPC). Des expertises diligentées par des tiers sont ainsi tout aussi probantes que celles ordonnées par le juge civil, étant rappelé que leur force probante se détermine selon le principe de la libre appréciation des preuves et qu’une nouvelle expertise portant sur les mêmes questions doit être mise en œuvre lorsque l’expertise diligentée par un tiers ne résiste pas à la critique (ATF 140 III 24 consid. 3.3.1.3). Du point de vue probatoire, un rapport médical est une simple expertise privée qui n’est selon la jurisprudence pas un moyen de preuve mais une simple allégation (ATF 140 III 24 consid. 3.3.3 ; ATF 132 III 83 consid. 3.4).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w:t>
      </w:r>
    </w:p>
    <w:p>
      <w:r>
        <w:t>A/2164/2011 - 29/34 - qu’allégation contestée (arrêt du Tribunal fédéral 4A_626/2015 du 24 mai 2016 consid. 2.5).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(ATF 125 V 351 consid. 3b/ee).</w:t>
      </w:r>
    </w:p>
    <w:p>
      <w:r>
        <w:rPr>
          <w:b/>
        </w:rPr>
        <w:t>E. 14</w:t>
      </w:r>
    </w:p>
    <w:p>
      <w:r>
        <w:t>En l'espèce, la défenderesse se fonde sur le rapport du Dr F_____ du 8 février 2011 pour nier l’incapacité de travail du demandeur. Ce dernier lui, invoque les appréciations unanimes de ses médecins traitants et du SMR. À titre liminaire, la Cour de céans relève qu’aucune des pièces produites ne peut être qualifiée d’expertise au sens strict du terme, pas même le rapport du SMR. Toutes les pièces médicales produites correspondent ainsi à des allégations des parties, lesquelles sont contestées par la partie adverse. Dans la mesure où l’allégation de la défenderesse, selon laquelle le demandeur serait totalement capable de travailler, a été contestée de manière circonstanciée par ce dernier, le rapport du Dr F_____, en tant qu’expertise privée et, partant allégation des parties, ne saurait suffire à prouver l’allégation précitée, d’autant moins que la Cour de céans lui a nié, dans son ordonnance du 16 novembre 2012, toute valeur probante et qu’aucun autre élément du dossier ne le corrobore. L’allégation du demandeur relative à son incapacité de travail est, elle, contestée par la défenderesse. Le demandeur se réfère toutefois au rapport du SMR du 9 novembre 2012 ainsi qu’à ceux de ses médecins traitants pour fonder sa position. Quand bien même ces pièces constituent également des allégations de parties, elles peuvent, combinées à d’autres indices, prouver l’allégation contestée. Or, dans le cas d’espèce, le demandeur a été mis au bénéfice d’une rente entière d’invalidité versée à compter du 1er octobre 2011. Dans ces circonstances, le rapport du SMR et ceux des médecins traitants, combinés à la décision du 7 mars 2013 relative à l’octroi d’une rente entière amènent la preuve de l’incapacité de travail totale du demandeur. Il peut donc être retenu, sans violation de l'art. 168 CPC, que le rapport du SMR du 9 novembre 2012 et les rapports des médecins traitants du demandeur établissent suffisamment l’incapacité de gain totale de l’intéressé, sans qu'il se justifie de faire procéder à une expertise judiciaire, ni d'entendre les médecins, audition à laquelle la défenderesse a au demeurant renoncé.</w:t>
      </w:r>
    </w:p>
    <w:p>
      <w:r>
        <w:t>A/2164/2011 - 30/34 - Partant, la défenderesse est tenue d’indemniser le demandeur en raison d’une incapacité de travail totale à compter du 1er octobre 2010.</w:t>
      </w:r>
    </w:p>
    <w:p>
      <w:r>
        <w:rPr>
          <w:b/>
        </w:rPr>
        <w:t>E. 15</w:t>
      </w:r>
    </w:p>
    <w:p>
      <w:r>
        <w:t>S’agissant du montant de l’indemnité journalière due, la défenderesse a fait valoir, dans sa réponse du 23 septembre 2011, qu’il appartenait au demandeur d’établir son dommage en produisant, en sa qualité d’indépendant, les bilans des cinq dernières années. Force est toutefois de constater, en premier lieu, que le demandeur était salarié de la fiduciaire, de sorte qu’il n’a pas à produire les bilans. Par ailleurs, il ressort de l’extrait de compte individuel le concernant, produit dans la procédure AI, qu’entre 2005 et 2009, il a réalisé auprès de la fiduciaire un salaire moyen de CHF 166'800.- (2005 : CHF 150'000.- ; 2006 : CHF 150'000.- + CHF 30'000.- ; 2007 : CHF 180'000.- ; CHF 2008 : 180'000.- et 2009 : CHF 144'000.-). Converti en salaire journalier, cela correspond à un montant de CHF 457.-, supérieur à celui qu’il réclame. Par conséquent, c’est bien une indemnité journalière de CHF 394,52 que la défenderesse devra verser. Au vu des considérations qui précèdent, la défenderesse sera condamnée à verser au demandeur le montant total de CHF 220'931.- correspondant au solde des 700 indemnités journalières dues par la défenderesse : déjà versés (150 jours) : CHF 55'237.00 - octobre 2010 : 31 jours à 100% : CHF 12'231.00 - novembre 2010 : 30 jours à 100% : CHF 11'836.00 - décembre 2010 : 14 jours à 100% : CHF 5'524.00 - janvier 2011 : 27 jours à 100% : CHF 10'653.00 - février 2011 : 28 jours à 1005 : CHF 11'047.00 - mars 2011 : 20 jours à 50% : CHF 3'946.00 à verser (550 jours + complément pour les 20 jours de mars 2011 à 50%) : - décembre 2010 : 17 jours à 100% : CHF 6'706.85 - janvier 2011 : 4 jours à 100% : CHF 1'578.00 - mars 2011 : 20 jours à 50% et 11 jours à 100% : CHF 8'284.90 - avril 2011 : 30 jours à 100% : CHF 11'835.60 - mai 2011 : 31 jours à 100% : CHF 12'230.10 - juin 2011 : 30 jours à 100% : CHF 11'835.60 - juillet 2011 : 31 jours à 100% : CHF 12'230.10 - août 2011 : 31 jours à 100% : CHF 12'230.10 - septembre 2011 : 30 jours à 100% : CHF 11'835.60</w:t>
      </w:r>
    </w:p>
    <w:p>
      <w:r>
        <w:t>A/2164/2011 - 31/34 - - octobre 2011 : 31 jours à 100% : CHF 12'230.10 - novembre 2011 : 30 jours à 100% : CHF 11'835.60 - décembre 2011 : 31 jours à 100% : CHF 12'230.10 - janvier 2012 : 31 jours à 100% : CHF 12'230.10 - février 2012 : 29 jours à 100% : CHF 11'441.10 - mars 2012 : 31 jours à 100% : CHF 12'230.10 - avril 2012 : 30 jours à 100% : CHF 11'835.60 - mai 2012 : 31 jours à 100% : CHF 12'230.10 - juin 2012 : 30 jours à 100% : CHF 11'835.60 - juillet 2012 : 31 jours à 100% : CHF 12'230.10 - août 2012 : 30 jours à 100% : CHF 11'835.60</w:t>
      </w:r>
    </w:p>
    <w:p>
      <w:r>
        <w:rPr>
          <w:b/>
        </w:rPr>
        <w:t>E. 16</w:t>
      </w:r>
    </w:p>
    <w:p>
      <w:r>
        <w:t>novembre 2012 et on peut admettre, selon toute vraisemblance, que celle-ci l’a reçue le lundi 19 novembre 2012 ; partant, les intérêts moratoires de 5% courent dès le mardi 20 novembre 2012 sur le montant de CHF 8'284.85.</w:t>
      </w:r>
    </w:p>
    <w:p>
      <w:r>
        <w:rPr>
          <w:b/>
        </w:rPr>
        <w:t>E. 17</w:t>
      </w:r>
    </w:p>
    <w:p>
      <w:r>
        <w:t>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Le demandeur, représenté par un conseil, obtenant gain de cause, la défenderesse est condamnée à lui verser une indemnité de CHF 16'400.- à titre de dépens, TVA et débours inclus (art. 106 al. 1 CPC; art. 20 à 26 de la loi d'application du code</w:t>
      </w:r>
    </w:p>
    <w:p>
      <w:r>
        <w:t>A/2164/2011 - 33/34 - civil suisse et d’autres lois fédérales en matière civile du 11 octobre 2012 [LaCC - E 1 05]; art. 84 et 85 du RTFMC). Pour le surplus, la procédure est gratuite (art. 114 let. e CPC).</w:t>
      </w:r>
    </w:p>
    <w:p>
      <w:r>
        <w:t>A/2164/2011 - 34/34 -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