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ATAS/565/2022 vom 21. Juni 2022</w:t>
      </w:r>
    </w:p>
    <w:p>
      <w:r>
        <w:t>GE Cour de justice, 2022-06-21, FR</w:t>
      </w:r>
    </w:p>
    <w:p>
      <w:r>
        <w:rPr>
          <w:b/>
        </w:rPr>
        <w:t xml:space="preserve">Quelle: </w:t>
      </w:r>
      <w:r>
        <w:t>https://mcp.opencaselaw.ch/entscheid/ge_gerichte_ATAS_565_2022</w:t>
      </w:r>
    </w:p>
    <w:p>
      <w:r>
        <w:t>FR: GE_GERICHTE ATAS/565/2022 du 21 juin 2022</w:t>
      </w:r>
    </w:p>
    <w:p>
      <w:r>
        <w:t>IT: GE_GERICHTE ATAS/565/2022 del 21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w:t>
      </w:r>
    </w:p>
    <w:p>
      <w:r>
        <w:t>A/3235/2020 - 5/27 -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3</w:t>
      </w:r>
    </w:p>
    <w:p>
      <w:r>
        <w:t>Par ailleurs,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le 15 septembre 2020, soit antérieurement au 1er janvier 2022, de sorte que les dispositions légales applicables seront citées dans leur ancienne teneur, en vigueur jusqu’au 31 décembre 2021 (ci-après : aLAI et aRAI lorsque la disposition en question a été modifiée).</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rPr>
          <w:b/>
        </w:rPr>
        <w:t>E. 5</w:t>
      </w:r>
    </w:p>
    <w:p>
      <w:r>
        <w:t>Le litige porte sur le point de savoir si l'intimé était fondé à rejeter la demande de prestations de la recourante. Concrètement, les questions litigieuses portent sur le statut de la recourante et la valeur probante du rapport d’expertise des Drs E______ et F______.</w:t>
      </w:r>
    </w:p>
    <w:p>
      <w:r>
        <w:rPr>
          <w:b/>
        </w:rPr>
        <w:t>E. 6</w:t>
      </w:r>
    </w:p>
    <w:p>
      <w:r>
        <w:t>Les parties s'opposent tout d’abord sur le statut de la recourante et, par conséquent, la méthode de calcul applicable.</w:t>
      </w:r>
    </w:p>
    <w:p>
      <w:r>
        <w:rPr>
          <w:b/>
        </w:rPr>
        <w:t>E. 6.1</w:t>
      </w:r>
    </w:p>
    <w:p>
      <w:r>
        <w:t>Tant lors de l'examen initial du droit à la rente qu'à l'occasion d'une révision de celle-ci (art. 17 LPGA), il faut déterminer quelle méthode d'évaluation de l'invalidité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aLAI, en corrélation avec les art. 27 ss aRAI).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w:t>
      </w:r>
    </w:p>
    <w:p>
      <w:r>
        <w:t>A/3235/2020 - 6/27 -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il faut qu'il puisse se déduire d'indices extérieurs (arrêt du Tribunal fédéral I.693/06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w:t>
      </w:r>
    </w:p>
    <w:p>
      <w:r>
        <w:rPr>
          <w:b/>
        </w:rPr>
        <w:t>E. 6.2</w:t>
      </w:r>
    </w:p>
    <w:p>
      <w:r>
        <w:t>Lorsqu'il convient d'évaluer l'invalidité d'un assuré d'après la méthode mixte, l'invalidité des assurés qui n'exercent que partiellement une activité lucrative est, pour cette part, évaluée selon la méthode ordinaire de comparaison des revenus (art. 28a al. 3 aLAI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aLAI en corrélation avec l'art. 27bis aRAI, ainsi que les art. 16 LPGA et 28a al. 2 aLAI en corrélation avec les art. 27 aRAI et</w:t>
      </w:r>
    </w:p>
    <w:p>
      <w:r>
        <w:rPr>
          <w:b/>
        </w:rPr>
        <w:t>E. 8</w:t>
      </w:r>
    </w:p>
    <w:p>
      <w:r>
        <w:t>al. 3 LPGA). Ainsi, il convient d'évaluer d'une part l'invalidité dans les travaux habituels par comparaison des activités (art. 27 aRAI) et d'autre part l'invalidité dans une activité lucrative par comparaison des revenus (art. 28a al. 3 aLAI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w:t>
      </w:r>
    </w:p>
    <w:p>
      <w:r>
        <w:t>A/3235/2020 - 7/27 -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7. En l'espèce, sous la plume de son conseil, qui a entretemps cessé d’occuper, la recourante a expliqué que sans atteinte à la santé, elle aurait exercé une activité à 100 %, ses enfants étant désormais adolescents et son mari étant au chômage. En d’autres termes, elle est d’avis que le statut de personne active doit lui être reconnu. Le dossier soumis à la Chambre de céans ne permet toutefois pas de suivre les conclusions de la recourante et de retenir un tel statut. En effet, il ressort du rapport d’expertise du 18 juin 2020 qu’antérieurement à son mariage et à la naissance de ses enfants, la recourante a notamment travaillé en qualité de jeune fille au pair ou de femme de ménage, pendant près de 11 ou</w:t>
      </w:r>
    </w:p>
    <w:p>
      <w:r>
        <w:rPr>
          <w:b/>
        </w:rPr>
        <w:t>E. 8.1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 En vertu de l’art. 28 al. 2 aLAI,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w:t>
      </w:r>
    </w:p>
    <w:p>
      <w:r>
        <w:t>A/3235/2020 - 9/27 - réadaptation, sur un marché du travail équilibré (art. 16 LPGA et art. 28 al. 2 aLAI).</w:t>
      </w:r>
    </w:p>
    <w:p>
      <w:r>
        <w:rPr>
          <w:b/>
        </w:rPr>
        <w:t>E. 8.2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8.3</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A/3235/2020 - 10/27 -</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w:t>
      </w:r>
    </w:p>
    <w:p>
      <w:r>
        <w:rPr>
          <w:b/>
        </w:rPr>
        <w:t>E. 12</w:t>
      </w:r>
    </w:p>
    <w:p>
      <w:r>
        <w:t>juillet 2019 consid. 4.3 et la référence ; ATF 145 V 215 consid. 7). En l’absence d’un diagnostic psychiatrique, une telle appréciation n’a pas non plus à être effectuée (arrêt du Tribunal fédéral 9C_176/2018 du 16 août 2018 consid. 3.2.2). 9. 9.1. La catégorie F40 de la CIM-19 porte sur le trouble panique. Il s’agit là d’un trouble dans lequel une anxiété est déclenchée, exclusivement ou essentiellement, par certaines situations bien précises sans dangerosité actuelle. Ces situations sont de ce fait typiquement évitées ou endurées avec appréhension. Les préoccupations du sujet peuvent être centrées sur des symptômes individuels tels que des palpitations ou une impression d'évanouissement et aboutissent souvent à une peur de mourir, de perdre le contrôle de soi ou de devenir fou. La simple évocation d'une situation phobogène déclenche habituellement une anxiété anticipatoire. 9.2. Les convulsions dissociatives sont, quant à elles, classées parmi les troubles dissociatifs ou de conversion, dans la catégorie F44 de la CIM-10. Ces troubles ont en commun une perte partielle ou complète des fonctions normales d'intégration des souvenirs, de la conscience de l'identité ou des sensations immédiates et du contrôle des mouvements corporels. On admet que ces troubles sont psychogènes, dans la mesure où ils surviennent en relation temporelle étroite avec des événements traumatiques, des problèmes insolubles et insupportables, ou des relations interpersonnelles difficiles. Les symptômes traduisent souvent l'idée que se fait le sujet du tableau clinique d'une maladie physique. L'examen médical et les examens complémentaires ne permettent pas de mettre en évidence un trouble physique (en particulier neurologique) connu. Par ailleurs, on dispose d'arguments pour penser que la perte d'une fonction est, dans ce trouble, l'expression d'un conflit ou d'un besoin psychique. Les symptômes peuvent se développer en relation étroite avec un facteur de stress psychologique et ils surviennent souvent brusquement. Les convulsions dissociatives sont plus particulièrement définies dans la sous- catégories F44.5 de la CIM-10. Ainsi, de telles convulsions peuvent ressembler très étroitement aux mouvements que l'on observe au cours d'une crise épileptique; toutefois, la morsure de la langue, les blessures dues à une chute ou la perte des urines sont rares. Par ailleurs, le trouble peut s'accompagner d'un état de stupeur ou de transe mais il ne s'accompagne pas d'une perte de la conscience.</w:t>
      </w:r>
    </w:p>
    <w:p>
      <w:r>
        <w:t>A/3235/2020 - 11/27 - 9.3. Des traits de personnalité (notamment évoqués sous Z73.1 de la CIM-10)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10. 10.1.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 10.2.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10.3. Sans remettre en cause le principe de la libre appréciation des preuves, le Tribunal fédéral des assurances a posé des lignes directrices en ce qui concerne la manière d'apprécier certains types d'expertises ou de rapports médicaux. 10.3.1. Ainsi, en principe, lorsqu’au stade de la procédure administrative, une expertise confiée à un médecin indépendant est établie par un spécialiste reconnu, sur la base d'observations approfondies et d'investigations complètes, ainsi qu'en</w:t>
      </w:r>
    </w:p>
    <w:p>
      <w:r>
        <w:t>A/3235/2020 - 12/27 - pleine connaissance du dossier, et que l'expert aboutit à des résultats convaincants, le juge ne saurait les écarter aussi longtemps qu'aucun indice concret ne permet de douter de leur bien-fondé (ATF 125 V 351 consid. 3b/bb). 10.3.2.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10.3.3.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10.3.4.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w:t>
      </w:r>
    </w:p>
    <w:p>
      <w:r>
        <w:t>A/3235/2020 - 13/27 -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11.1.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11.2.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w:t>
      </w:r>
    </w:p>
    <w:p>
      <w:r>
        <w:t>A/3235/2020 - 14/27 - jurisprudence rendue sous l’empire de l’art. 4 aCst. étant toujours valable (ATF 124 V 90 consid. 4b; ATF 122 V 157 consid. 1d).</w:t>
      </w:r>
    </w:p>
    <w:p>
      <w:r>
        <w:rPr>
          <w:b/>
        </w:rPr>
        <w:t>E. 12.1</w:t>
      </w:r>
    </w:p>
    <w:p>
      <w:r>
        <w:t>En l’espèce, il ressort du dossier que la recourante a déposé, en date du 19 juillet 2019, une demande de prestations en raison d’une épilepsie, d’une scoliose, de crises d’angoisse et de panique. Concrètement, selon les explications données par la recourante, elle a présenté, en 2000, 2003 et occasionnellement depuis lors, des épisodes de perte de connaissance, précédée de céphalées intenses et accompagnée de mouvements des quatre extrémités et parfois d’une morsure de langue. Parallèlement, elle a également souffert de crises sous forme de sensations de malaises, à point de départ épigastrique, avec altération de la vigilance. Les diagnostics d’épilepsie partielle complexe (cf. lettre de sortie du professeur H______, médecin auprès de la clinique de neurologie des HUG du 27 septembre 2012 et rapports du Dr C______ du 12 août 2019 et de la Dresse B______ du 19 septembre 2019) et d’état anxio-dépressif chronique (cf. rapport de la Dresse B______ du 19 septembre 2019) ont été évoqués dans ce contexte. Afin de pouvoir se prononcer sur le caractère invalidant des atteintes précitées et, par conséquent, sur la demande de prestations de la recourante, l’OAI a mandaté le D______, soit pour lui, les Drs E______ et F______, pour expertise. En juin 2020, les médecins précités ont établi leurs rapports respectifs ainsi qu’une appréciation consensuelle. Il convient, dès lors, d’examiner la valeur probante de ces documents.</w:t>
      </w:r>
    </w:p>
    <w:p>
      <w:r>
        <w:rPr>
          <w:b/>
        </w:rPr>
        <w:t>E. 12.2</w:t>
      </w:r>
    </w:p>
    <w:p>
      <w:r>
        <w:t>Force est de constater, tout d’abord, que les rapports du 18 juin 2020 répondent, sur le plan formel, aux exigences posées par la jurisprudence pour qu’on puisse leur accorder une pleine valeur probante : ces expertises ont été conduites par des médecins spécialistes des domaines en question, sur la base d’observations approfondies et d’investigations complètes, ainsi qu’en pleine connaissance du dossier. Les experts ont personnellement examiné la recourante préalablement à l’établissement de leurs rapports. Ils ont consigné les renseignements anamnestiques pertinents, recueilli les plaintes de l’assurée et résumé leurs propres constatations. Les experts ont en outre énoncés les diagnostics retenus et répondu à toutes les questions posées. Enfin, leurs conclusions sont claires et bien motivées.</w:t>
      </w:r>
    </w:p>
    <w:p>
      <w:r>
        <w:rPr>
          <w:b/>
        </w:rPr>
        <w:t>E. 12.2.1</w:t>
      </w:r>
    </w:p>
    <w:p>
      <w:r>
        <w:t>Sur le fond, sur le plan neurologique, le Dr E______ a retenu le diagnostic différentiel de crises comitiales partielles et généralisées versus pseudo-crises d’épilepsie, lesquelles ne limitaient pas la capacité de travail de la recourante. Le neurologue précité a en particulier expliqué que vu les éléments à disposition et les explications de la recourante, il lui était impossible de trancher clairement quant à l’origine des troubles. Il estimait toutefois probable que la recourante ait présenté, à tout le moins à quelques reprises, des crises comitiales généralisées</w:t>
      </w:r>
    </w:p>
    <w:p>
      <w:r>
        <w:t>A/3235/2020 - 15/27 - convulsives tonico-cloniques. La fréquence de ces manifestations n’était pas précisable, si ce n’était qu’il n’y en avait pas eu beaucoup. Parallèlement, la recourante présentait des manifestations plus difficiles à définir clairement, avec des sortes d’aura épigastrique, accompagnées d’une altération de la vigilance, lesquelles pouvaient correspondre à des crises comitiales partielles complexes (crises temporales), mais la description desdits troubles et les éléments objectifs à disposition ne permettaient pas d’affirmer ce diagnostic, dans un contexte de phénomènes pseudo-épileptiques de type crises de panique. Par ailleurs, sur le plan strictement neurologique, la fréquence des malaises ne représentait pas une cause d’incapacité de travail significative dans l’activité de femme de ménage/nettoyeuse ni dans toute autre activité adaptée aux limitations fonctionnelles suivantes : pas de travail en hauteur, pas d’activité à proximité d’une machine dangereuse, pas de conduite professionnelle d’un véhicule automobile, ces activités étant à risque majeur en cas de perte de connaissance soudaine. Quant aux céphalées et aux cervico-dorsalgies, elles ne représentaient pas non plus de cause objective d’incapacité de travail et de limitations fonctionnelles au vu de leur caractère objectivement modéré. Enfin, le Dr E______ a considéré que les troubles susmentionnés étaient plausibles et cohérents, mais que leur nature exacte (épileptogène ou psychogène) restait indéterminée avec un possible mélange des deux.</w:t>
      </w:r>
    </w:p>
    <w:p>
      <w:r>
        <w:rPr>
          <w:b/>
        </w:rPr>
        <w:t>E. 12.2.2</w:t>
      </w:r>
    </w:p>
    <w:p>
      <w:r>
        <w:t>Sur le plan psychique, le Dr F______ a retenu les diagnostics de trouble panique (F40.0) depuis 2009 ou 2010, possibles convulsions dissociatives (F44.5), possibles troubles mentaux et du comportement, liés à l’utilisation de sédatifs, syndrome de dépendance, utilisation continue (F13.25), et accentuation de certains traits de personnalité (Z73.1). Ces diagnostics n’entraînaient pas d’incapacité de travail. Il ressort plus particulièrement de l’expertise psychiatrique que sous la pression de son entourage, la recourante avait avorté en septembre 1999. Neuf mois après, elle avait présenté la première crise d’épilepsie alors qu’elle se rendait dans sa belle- famille. Par la suite, l’assurée avait regretté cette décision et elle culpabilisait depuis lors. Pour l’expert psychiatre, il était clair que cet avortement n’avait pas été intégré d’un point de vue psychique. Compte tenu des conclusions neurologiques évoquant une pseudo-épilepsie, le Dr F______ a retenu, dans ce contexte, le diagnostic différentiel de possibles convulsions dissociatives (F44.5). En effet, les premières crises épileptiques étaient survenues dans un contexte psychologique bien particulier, suffisamment important pour justifier une origine psychique, la recourante vivant une culpabilité et des regrets quant à sa décision d’avorter. De plus, compte tenu de l’absence d’attaques de panique entre 2000 et 2009, la symptomatologie pseudo-épileptique ne pouvait pas uniquement être imputée au trouble panique, raison pour laquelle le diagnostic de possible convulsions dissociatives (F44.5) a été évoqué.</w:t>
      </w:r>
    </w:p>
    <w:p>
      <w:r>
        <w:t>A/3235/2020 - 16/27 - Le Dr F______ a également relevé que durant la deuxième grossesse de la recourante, en 2009, des angoisses étaient apparues. C’est pourquoi, il a retenu le diagnostic de trouble panique (F40.0), ce trouble étant caractérisé par une anxiété sévère, accompagnée de différents symptômes neurovégétatifs (sensation d’évanouissement, sensation de mort imminente, sensation de devenir folle) et survenant, dans le cas de la recourante, environ quatre fois par année, de manière imprévisible. En outre, l’expert a considéré qu’il ressortait implicitement des déclarations de l’assurée que le Temesta était pris de manière excessive. Dans ces moments, la recourante était apathique. Par ailleurs, le psychiatre a constaté une accentuation de certains traits de personnalité (Z73.1), notamment dans le domaine obsessionnel, avec une tendance importante à aimer l’ordre, le rangement, les détails ou la précision notamment. Cela étant, il n’y avait pas d’argument en faveur d’un trouble de la personnalité. Enfin, le Dr F______ a relevé que lors de l’expertise, la recourante avait arrêté toute prise en charge psychiatrique depuis cinq ans et n’utilisait que du Temesta en réserve et du Relaxane chaque matin pour traiter sa symptomatologie. L’expert ne savait pas si l’assurée avait bénéficié d’une approche psychothérapeutique centrée sur l’avortement et ses conséquences affectives en termes de culpabilité. Si la capacité d’introspection était cliniquement très faible, voire absente, et que la dimension obsessionnelle de la personnalité était un argument en faveur de difficultés à intégrer l’avortement et à surmonter la symptomatologie dissociative et anxieuse, une amélioration clinique n’était pas exclue avec un traitement adéquat, sous la forme d’une prise en charge psychiatrique et psychothérapeutique, adaptée au profil de personnalité et des ressources psychiques, avec en parallèle un traitement psychotrope adéquat.</w:t>
      </w:r>
    </w:p>
    <w:p>
      <w:r>
        <w:rPr>
          <w:b/>
        </w:rPr>
        <w:t>E. 12.2.3</w:t>
      </w:r>
    </w:p>
    <w:p>
      <w:r>
        <w:t>Les médecins précités ont par ailleurs procédé à une appréciation consensuelle. Ils ont notamment relevé que sur le plan étiologique, il était difficile de définir la nature exacte des troubles. La recourante avait présenté, voire présentait encore occasionnellement des crises comitiales généralisées convulsives tonico-cloniques, auxquelles pouvaient se surajouter des crises partielles complexes temporales, sans qu’il ne soit possible, sur la base des éléments à disposition, de trancher entre des phénomènes comitiaux partiels et pseudo- comitiaux/crises de panique. Dans tous les cas, l’atteinte neurologique n’entraînait pas d’incapacité de travail. Quant à la psychopathologie, elle ne justifiait que des périodes d’incapacité de travail de courtes durée, étant précisé que cette pathologie n’était pas adéquatement traitée.</w:t>
      </w:r>
    </w:p>
    <w:p>
      <w:r>
        <w:rPr>
          <w:b/>
        </w:rPr>
        <w:t>E. 12.3</w:t>
      </w:r>
    </w:p>
    <w:p>
      <w:r>
        <w:t>Lorsqu'une appréciation repose sur une évaluation médicale complète, il faut, pour la contester, faire état d'éléments objectivement vérifiables qui auraient été ignorés dans le cadre de l'expertise et suffisamment pertinents pour en remettre</w:t>
      </w:r>
    </w:p>
    <w:p>
      <w:r>
        <w:t>A/3235/2020 - 17/27 -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La recourante a sollicité l’audition de ses médecins traitants dans le but de remettre en question les conclusions des experts.</w:t>
      </w:r>
    </w:p>
    <w:p>
      <w:r>
        <w:rPr>
          <w:b/>
        </w:rPr>
        <w:t>E. 12.3.1</w:t>
      </w:r>
    </w:p>
    <w:p>
      <w:r>
        <w:t>Entendue en premier, la Dresse B______ a considéré que la recourante souffrait d’une dépression grave et invalidante, chronique, et de crises de panique, en sus de l’épilepsie. Sa capacité de travail était nulle, aucun employeur ne voulant engager avec de telles pathologies. La recourante était déjà aidée par sa famille, y compris sa fille, dans son propre quotidien, de sorte que la Dresse B______ ne voyait pas comment la recourante pouvait travailler. Elle ne pouvait pas garder des enfants ni sortir de chez elle. Les critiques de la Dresse B______ ne sauraient toutefois être suivies. En effet, ce médecin a tout d’abord posé un diagnostic psychiatrique, celui de dépression, qui dépasse sa spécialisation en médecine interne générale, et qui n’a été retenu par aucun des spécialiste en psychiatrie consultés, que ce soit le Dresse G______ ou le Dr F______. Or, la qualification du médecin joue un rôle déterminant dans l'appréciation de conclusions médicales. Ainsi, le médecin rapporteur ou pour le moins le médecin signant le rapport médical (ou, comme dans le cas d’espèce, le médecin entendu par la Chambre de céans) doit en principe disposer d'une spécialisation dans la discipline médicale concernée ; à défaut, la valeur probante de ses conclusions est moindre (cf. arrêt du Tribunal fédéral 9C_826/2009 du 20 juillet 2010 consid. 4.2 portant sur les rapports des services médicaux régionaux au sens de l'art. 49 al. 2 RAI). A cela s’ajoute le fait que le médecin traitant n’a pas procédé à une appréciation médicale de la capacité de travail de la recourante, se contentant d’expliquer ne pas concevoir d’employeur voulant engager une personne ayant des crises de panique et d’épilepsie avec de l’angoisse et de la dépression.</w:t>
      </w:r>
    </w:p>
    <w:p>
      <w:r>
        <w:rPr>
          <w:b/>
        </w:rPr>
        <w:t>E. 12.3.2</w:t>
      </w:r>
    </w:p>
    <w:p>
      <w:r>
        <w:t>La Chambre de céans a ensuite entendu le Dr C______, qui suivait la recourante depuis 2007. Celui-ci s’est déclaré en accord avec l’expertise du Dr E______, à l’exception de son appréciation de la capacité de travail, le neurologue traitant ne voyant également pas quel employeur pourrait engager une personne faisant une crise d'épilepsie imprévisible une fois par mois. Pour le Dr C______, c’était l'état anxio-dépressif qui entraînait de la fatigue et un manque de résistance à l'effort et qui ne permettait ainsi pas à la recourante d'effectuer huit heures de travail par jour. Il estimait également qu’aucun employeur ne pouvait accepter le risque de crise d'épilepsie mensuelle due au manque de résistance à l'effort. Ce n’était pas les médicaments qui l'empêchaient de travailler, au contraire, étant toutefois précisé que trop de Temesta pouvait avoir un effet sédatif. Enfin, le Dr C______ a expliqué que l'état épileptique était stabilisé</w:t>
      </w:r>
    </w:p>
    <w:p>
      <w:r>
        <w:t>A/3235/2020 - 18/27 - durablement et avait le potentiel de s'améliorer, vu notamment la réduction de la fréquence des crises d'épilepsie. Comme pour la Dresse B______, force est de constater que le Dr C______ n’a pas procédé à une appréciation médicale de la capacité de travail en considérant qu’aucun employeur ne pouvait accepter le risque d’épilepsie. Cette affirmation est en outre en contradiction avec son appréciation de la situation sur le plan neurologique, dès lors que pour le neurologue traitant, l’état épileptique était stabilisé durablement et qu’il avait même le potentiel de s’améliorer vu la réduction de la fréquence des crises. De plus, il se contredit dans ses explications quant à la régularité de telles crises. En effet, lors de son audition, il a expliqué que ces crises arrivaient tous les mois alors que dans son certificat du 29 septembre 2020, il évoque des crises d’épilepsie tous les trois à quatre mois. En tout état, dans la mesure où le Dr C______ ne donne aucune indication quant une incapacité de travail de longue durée après une crise d’épilepsie, la Chambre de céans ne voit pas en quoi une telle crise serait incapacitante, ce d’autant plus que de l’aveu même de la recourante lors de son audition le 14 septembre 2021, elle pouvait désormais anticiper la venue de crises d’épilepsie et prendre les mesures nécessaires pour ne pas se mettre en danger. Enfin, nier une quelconque capacité de travail en raison du seul risque de crises d’épilepsie revient à écarter, par principe, une personne épileptique du marché du travail.</w:t>
      </w:r>
    </w:p>
    <w:p>
      <w:r>
        <w:rPr>
          <w:b/>
        </w:rPr>
        <w:t>E. 12.3.3</w:t>
      </w:r>
    </w:p>
    <w:p>
      <w:r>
        <w:t>Enfin, la Chambre de céans a procédé à l’audition de la Dresse G______, psychiatre, laquelle avait vu la recourante à quatre reprises, soit le 18 décembre 2020, le 21 janvier 2021, le 11 février 2021 et le 11 mars 2021. Le 11 mars 2021, elle avait suggéré à la recourante d'effectuer une thérapie de psychomotricité, ne s’estimant pas être la thérapeute adéquate pour sa problématique en raison de sa capacité d’introspection limitée. Elle ne suivait donc plus la recourante. La psychiatre traitante était d'accord avec le diagnostic psychiatrique posé par l'expert mais non avec les conclusions sur la capacité de travail. En effet, elle était d’avis que l’anxiété, qui pouvait, lorsqu’elle était importante, engendrer le trouble dissociatif, était difficile à soigner psychiatriquement notamment en raison de son intolérance aux médicaments, sauf peut-être aux benzodiazépines (Temesta). Partant, la capacité de travail de la recourante était restreinte, mais la Dresse G______ ne pouvait pas la définir plus précisément faute d'éléments suffisants. Peut-être que la recourante pouvait bien fonctionner dans un cadre protégé, agréable, et sans trop d'exigences de rendement. Les critiques de la Dresse G______ ne sauraient toutefois pas non plus être suivies. En effet, ce médecin a essentiellement considéré que l’anxiété de la recourante était difficile à soigner notamment en raison de son intolérance aux médicaments, sauf peut-être aux benzodiazpéines, dont le Temesta fait partie. Il ressort cependant du dossier que de l’Efexor 37,5mg et du Deanxit ont été prescrits par le passé sans qu’il y ait de mention d’une quelconque intolérance. A cela s’ajoute le fait que lors de la réalisation de l’expertise, la recourante n’était</w:t>
      </w:r>
    </w:p>
    <w:p>
      <w:r>
        <w:t>A/3235/2020 - 19/27 - plus suivie par un psychiatre depuis plusieurs années. Elle n’a, par la suite, vu la Dresse G______ qu’à quatre reprises seulement. De plus, le trouble dissociatif reconnu par la psychiatre précitée était susceptible d’être soigné ou du moins géré avec l’aide d’un(e) psychomotricien(ne). Dans de telles circonstances, il paraît prématuré de considérer que les troubles dont souffre la recourante sont difficiles à soigner. En tout état, ces éléments ont été pris en considération par l’expert psychiatre, lequel a estimé qu’une amélioration était malgré tout possible.</w:t>
      </w:r>
    </w:p>
    <w:p>
      <w:r>
        <w:rPr>
          <w:b/>
        </w:rPr>
        <w:t>E. 12.4</w:t>
      </w:r>
    </w:p>
    <w:p>
      <w:r>
        <w:t>Force est de constater, à l’issue de l’audition des médecins traitants de la recourante, que ces derniers rejoignent les conclusions des experts en ce qui concerne les diagnostics, étant rappelé que le diagnostic de dépression a uniquement été évoqué par la Dresse B______, qui n’est pas psychiatre. En revanche, ils s’écartent de l’expertise s’agissant de l’appréciation de la capacité de travail. Leurs explications ne montrent toutefois pas d'éléments objectivement vérifiables qui auraient été ignorés dans le cadre de l'expertise et suffisamment pertinents pour en remettre en cause les conclusions. Partant, une pleine valeur probante doit être reconnue à l’expertise réalisée par les Drs E______ et F______ et il doit être considéré que la capacité de travail de la recourante est entière.</w:t>
      </w:r>
    </w:p>
    <w:p>
      <w:r>
        <w:rPr>
          <w:b/>
        </w:rPr>
        <w:t>E. 13</w:t>
      </w:r>
    </w:p>
    <w:p>
      <w:r>
        <w:t>Enfin, même si les appréciations des médecins traitants quant à la capacité de travail, réduite ou nulle, devaient être prises en considération, le recours devrait néanmoins être rejeté pour les motifs suivants, étant précisé que ces médecins s’accordent pour retenir une incapacité de travail en raison de troubles psychiques seulement.</w:t>
      </w:r>
    </w:p>
    <w:p>
      <w:r>
        <w:rPr>
          <w:b/>
        </w:rPr>
        <w:t>E. 13.1</w:t>
      </w:r>
    </w:p>
    <w:p>
      <w:r>
        <w:t>Comme indiqué précédemment, pour qu'il y ait une incapacité de gain, notion centrale pour la définition de l’invalidité,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(MESTRE CARVALHO, op. cit., p. 60). Les maladies psychiques ne peuvent être déterminées ou prouvés sur la base de critères objectifs que de manière limitée. Elles sont donc difficilement objectivables et il n'est pas évident d'identifier ce qui est raisonnablement exigible de l'assuré et s'il a les ressources nécessaires pour fournir l'effort requis (MESTRE CARVALHO, op. cit., p. 61 et 70). Compte tenu des similitudes avec les troubles d'ordre psychosomatique ou syndromes sans pathogénèse ni étiologie claire et sans constat de déficit organique, tels que la fibromyalgie ou le trouble somatoforme douloureux, le Tribunal fédéral a considéré que l’approche instaurée dans l’ATF 141 V 281 pour clarifier le droit à une rente de l’assurance invalidité devait également s’appliquer aux troubles psychiques (MESTRE CARVALHO, op. cit., p. 71). Ainsi, selon la jurisprudence, dans le cas de troubles psychiques également, la capacité de travail réellement exigible doit être évaluée dans le cadre d'une procédure d'établissement des faits structurée et sans résultat prédéfini, permettant</w:t>
      </w:r>
    </w:p>
    <w:p>
      <w:r>
        <w:t>A/3235/2020 - 20/27 -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13.2</w:t>
      </w:r>
    </w:p>
    <w:p>
      <w:r>
        <w:t>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w:t>
      </w:r>
    </w:p>
    <w:p>
      <w:r>
        <w:t>A/3235/2020 - 21/27 -</w:t>
      </w:r>
    </w:p>
    <w:p>
      <w:r>
        <w:rPr>
          <w:b/>
        </w:rPr>
        <w:t>E. 14</w:t>
      </w:r>
    </w:p>
    <w:p>
      <w:r>
        <w:t>En l’espèce, la Chambre de céans relève, à titre liminaire, que personne ne remet en doute le trouble panique et les possibles convulsions dissociatives dont souffre la recourante. Toutefois, en tant qu’atteintes psychiques, par définition, non objectivables, celles-ci ne sont invalidantes que si la recourante ne dispose pas ou plus des ressources suffisantes pour les surmonter. Les indicateurs jurisprudentiels permettent justement de déterminer l’existence - ou non - de telles ressources. Or, il ressort tout d’abord de l’expertise judiciaire et des pièces du dossier qu’au jour de l’expertise, la recourante ne suivait plus de traitement psychiatrique depuis cinq ans et que par la suite, elle avait vu, à quatre reprises seulement, la Dresse G____, qui lui avait suggéré un suivi avec un psychomotricien. L’expert psychiatre était en outre d’avis qu’une amélioration clinique était possible grâce à une prise en charge psychiatrique et psychothérapeutique, adaptée au profil de personnalité et à celui des ressources psychiques, en parallèle d’un traitement psychotrope adéquat. Pour sa part, la psychiatre traitante a adressé la recourante à un psychomotricien, considérant qu’une personne de cette spécialisation serait plus à même d’aider la recourante. Il résulte donc de ce qui précède que la recourante n’a pas épuisé les possibilités de traitement raisonnablement exigibles, de sorte qu’on ne peut pas considérer que le trouble panique et les possibles convulsions dissociatives ne sont plus accessibles à une thérapie et, par conséquent, invalidants pour ce motif (cf. indicateur « succès du traitement et de la réadaptation ou résistance », voir à cet égard GÄCHTER / MEIER, Schmerzrechtsprechung 2.0 - Bemerkung zur grundlegenden Praxisänderung im Urteil des Bundesgerichts 9C_492/2014 vom 3. Juni 2015, zur Publikation vorgesehen, in Jusletter 29 juin 2015, ch. 51). Par ailleurs, outre les diagnostics incapacitants sur le plan psychique (trouble panique et possibles convulsions dissociatives), la recourante présente également des crises comitiales partielles et généralisées, des cervicalgies et des lombalgies communes ainsi qu’une accentuation de certains traits de personnalité. Les atteintes somatiques et neurologiques ne sont, selon les experts et les médecins traitants, en tant que telles pas incapacitantes, mais elles entraînent quelques limitations fonctionnelles, lesquelles sont toutefois respectées dans l’activité habituelle de la recourante (cf. rapport d’expertise du 18 juin 2020). Quant aux traits de la personnalité, ils ne sont par définition pas incapacitants (cf. arrêt du Tribunal fédéral 9C_369/2019 du 17 mars 2020 consid. 5.3). En tant que ces comorbidités ne sont pas incapacitantes, elles ne privent pas la recourante de ses ressources (cf. indicateur « comorbidité ou affections corporelles concomitantes, voir à cet égard MESTRE CARVALHO, op. cit., p. 67, voir également GÄCHTER / MEIER, op.cit., ch. 58). Malgré la capacité d’introspection limitée, l’expert psychiatre et, implicitement, la Dresse G______ ont considéré que les atteintes psychiques dont souffrait la recourante étaient accessibles à un traitement et susceptible d’amélioration. Les médecins précités n’ont donc pas considéré que la recourante était incapable</w:t>
      </w:r>
    </w:p>
    <w:p>
      <w:r>
        <w:t>A/3235/2020 - 22/27 - d’adopter un point de vue critique mais qu’elle devait être accompagnée par un spécialiste pour y parvenir. On ne peut donc pas considérer, à ce stade, que la recourante n’a pas les ressources psychologiques pour adopter un point de vue critique par rapport à sa capacité de travail résiduelle (cf. indicateur « complexe de personnalité, voir à cet égard MARELLI, Nicht können oder nicht wollen ? Beurteilung der Arbeitsfähigkeit bei somatoformen Störungen, typische Schwierigkeiten und ihre Überwindung, SZS 2007, pp. 336 ss). S’agissant de l’indicateur « complexe ‘contexte social’ », force est de constater que la recourante a un niveau d’activité bas. Elle n’a plus d’amis. Cependant, elle a le soutien de ses sœurs, de son époux et, dans une certaine mesure, de ses enfants. Elle bénéficie ainsi d’un soutien familial et d’un contexte social favorable. Des ressources mobilisables peuvent à l’évidence être tirées de son entourage familial, de sorte qu’elles n’ont pas été encore épuisées (voir à cet égard MESTRE CARVALHO, op.cit., p. 68; GÄCHTER / MEIER, op.cit., ch. 68). Enfin, en lien avec la catégorie « cohérence », la Chambre de céans constate que la recourante n’a pas cherché à entreprendre de thérapies pour traiter ses troubles psychiques. En effet, avant l’expertise, elle n’était plus suivie par un psychiatre. Après l’expertise, la Dresse G______ l’a reçue à quatre reprises, avant de l’adresser à un psychomotricien, plus compétent à ses yeux. Toutefois, rien dans le dossier ne permet de retenir que la recourante a suivi cette suggestion. Ce faisant, elle adopte un comportement incohérent. En effet, une personne souffrant de troubles psychiques l’empêchant de sortir de chez elle cherchera au contraire un moyen thérapeutique pour y remédier (voir à cet égard GÄCHTER / MEIER, op.cit., ch. 72 ; MESTRE CARVALHO, op.cit., p. 69). En résumé, il n’est pas contesté que la recourante souffre d’un trouble panique et de possibles convulsions dissociatives. Ces atteintes étant difficilement objectivables (cf. consid. 13.1 supra), la question est de savoir si la recourante dispose de ressources suffisantes pour les surmonter et travailler. Or, en procédant à l’examen des indicateurs jurisprudentiels, il peut être constaté que la recourante dispose justement de telles ressources. Ainsi, on ne saurait dans tous les cas parler d’une incapacité de gain objectivement insurmontable au sens de l’art. 7 al. 2 in fine LPGA. Partant, même si la Chambre de céans devait tenir compte des conclusions des médecins traitants quant à une capacité de travail réduite ou inexistante, elle serait contrainte de s’en écarter et d’inviter la recourante à suivre le traitement préconisé et à déposer, le cas échéant, une nouvelle demande en cas d’échec.</w:t>
      </w:r>
    </w:p>
    <w:p>
      <w:r>
        <w:rPr>
          <w:b/>
        </w:rPr>
        <w:t>E. 15</w:t>
      </w:r>
    </w:p>
    <w:p>
      <w:r>
        <w:t>Etant donné qu’un statut mixte a été reconnu à la recourante, la question de l’empêchement dans les travaux habituels se pose.</w:t>
      </w:r>
    </w:p>
    <w:p>
      <w:r>
        <w:rPr>
          <w:b/>
        </w:rPr>
        <w:t>E. 15.1</w:t>
      </w:r>
    </w:p>
    <w:p>
      <w:r>
        <w:t>Selon l’art. 27bis RAI en vigueur depuis le 1er janvier 2018, pour les personnes qui exercent une activité lucrative à temps partiel et accomplissent par ailleurs des travaux habituels visés à l'art. 7, al. 2, de la loi, le taux d'invalidité est</w:t>
      </w:r>
    </w:p>
    <w:p>
      <w:r>
        <w:t>A/3235/2020 - 23/27 -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15.2</w:t>
      </w:r>
    </w:p>
    <w:p>
      <w:r>
        <w:t>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15.3</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w:t>
      </w:r>
    </w:p>
    <w:p>
      <w:r>
        <w:t>A/3235/2020 - 24/27 -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15.4</w:t>
      </w:r>
    </w:p>
    <w:p>
      <w:r>
        <w:t>En résumé, conformément à l’art. 27 RAI, dans le cadre de la méthode mixte, le degré d’invalidité est calculé comme suit : (Taux d’occupation avant l’invalidité x degré d’invalidité) + (Taux des travaux habituels (ménage) x limitation dans le ménage) = Degré d’invalidité</w:t>
      </w:r>
    </w:p>
    <w:p>
      <w:r>
        <w:rPr>
          <w:b/>
        </w:rPr>
        <w:t>E. 16</w:t>
      </w:r>
    </w:p>
    <w:p>
      <w:r>
        <w:t>En l’espèce, comme indiqué précédemment, le statut mixte a été reconnu à la recourante, à savoir 70 % active et 30 % ménagère. Or, lors de l’audience de comparution personnelle du 14 septembre 2021, la recourante a expliqué que lorsqu’elle était dans un bon jour, elle arrivait à cuisiner et à faire des nettoyages à la main, des lessives et du repassage. En revanche, elle ne passait pas l’aspirateur lorsqu’elle était seule à cause du bruit qui lui coupait la respiration. Lorsqu’elle était dans un mauvais jour, elle ne faisait rien. Lors de son audition du même jour, le Dr C______ a fait une description similaire. Dans ce contexte se pose donc la question du degré d’invalidité dans la sphère ménagère et de la nécessité de réaliser une enquête économique. La réalisation d’une telle enquête est toutefois superflue pour les motifs suivants. En effet, selon le dossier, les activités habituelles de la recourante, en tant qu'activité lucrative à temps partiel, étaient celles de jeune fille au pair et de femme de ménage. Il s’agit là d’activités correspondant à plusieurs des domaines examinés lors de l’enquête sur place soit notamment les domaines de l’alimentation, de l’entretien du logement ou de la maison, de la lessive et de l’entretien des vêtements, ainsi que des soins et de l’assistance aux enfants et proches (cf. ch. 3609 de la Circulaire de l’office fédéral des assurances sociales [OFAS] sur l’invalidité et les rentes dans l’assurance-invalidité (CIRAI), qui a remplacé, avec effet au 1er janvier 2022, la circulaire de l’OFAS concernant l'invalidité et l'impotence de l'assurance-invalidité établie [CIIAI] et notamment son ch. 3087). Or, selon l’expertise, à laquelle une pleine valeur probante a été</w:t>
      </w:r>
    </w:p>
    <w:p>
      <w:r>
        <w:t>A/3235/2020 - 25/27 - reconnue, la capacité de travail de la recourante dans les activités habituelles est en l’état entière, ses atteintes psychiques, les seules qui sont potentiellement incapacitantes, étant accessibles à un traitement et susceptibles d’amélioration. S’il est établi que la capacité de travail de la recourante est entière dans les activités de jeune fille au pair et de femme de ménage, la Chambre de céans ne voit pas en quoi il y aurait des empêchements dans la tenue du ménage. Par surabondance, même si l’on devait retenir un empêchement de 100 % dans la sphère ménagère, ce qui n'est pas le cas vu ce qui précède, le degré d’invalidité dans les travaux habituels serait de 30 % au maximum, ce qui correspondrait à un degré d’invalidité général du même taux, insuffisant pour donner droit ne serait-ce déjà à un quart de rente : 70% x 0% + 30% x 100% au maximum soit = 30% 0% + 30% au maximum = 30% Où 70 % correspond au taux d’occupation avant l’invalidité et 0 % au taux d’incapacité de travailler et Où 30 % correspond au taux des travaux habituels et 30 % à la limitation dans le ménage. C’est encore le lieu de rappeler que l’empêchement de 30 % est un maximum, dès lors qu’il a été établi sur la base d’une incapacité totale d’exercer tous les travaux habituels (soit l’alimentation [préparer et cuire les aliments, servir les repas, nettoyer la cuisine au quotidien, faire des provisions], l’entretien du logement ou de la maison [ranger, épousseter, passer l’aspirateur, entretenir les sols, nettoyer les installations sanitaires, changer les draps de lit, nettoyer en profondeur, soigner les plantes, le jardin, l’extérieur de la maison, sortir les déchets et garde des animaux domestiques], les achats [courses quotidiennes et achats plus importants, et courses diverses (telles que la poste, les assurances, les services officiels], la lessive et l’entretien des vêtements [laver, étendre et plier le linge, repasser, raccommoder, nettoyer les chaussures] et les soins et l’assistance aux enfants et aux proches] – cf. ch. 3087 CIIAI jusqu’au 31 décembre 2021, étant précisé que depuis le 1er janvier 2022, le soin du jardin et de l’extérieur de la maison et la garde des animaux domestique constituent un domaine à part et ne figurent plus dans l’entretien de la maison, cf. ch. 3609 CIRAI) et sans tenir compte de l’aide de l’époux de la recourante et de leurs enfants. Ce pourcentage constitue dès lors un taux théorique maximum.</w:t>
      </w:r>
    </w:p>
    <w:p>
      <w:r>
        <w:rPr>
          <w:b/>
        </w:rPr>
        <w:t>E. 17</w:t>
      </w:r>
    </w:p>
    <w:p>
      <w:r>
        <w:t>Vu ce qui précède, le recours, mal fondé, est rejeté. La recourante, bien qu’ayant été représentée par un avocat, n’a pas droit à une indemnité de procédure dans la mesure où elle succombe (art. 61 let. g LPGA a contrario).</w:t>
      </w:r>
    </w:p>
    <w:p>
      <w:r>
        <w:t>A/3235/2020 - 26/27 - La procédure n'étant pas gratuite (art. 69 al. 1bis LAI), il y a par ailleurs lieu de condamner la recourante au paiement d'un émolument de CHF 200.-. ***</w:t>
      </w:r>
    </w:p>
    <w:p>
      <w:r>
        <w:t>A/3235/2020 - 27/27 -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