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ATAS/565/2020 vom 30. August 2018</w:t>
      </w:r>
    </w:p>
    <w:p>
      <w:r>
        <w:t>GE Cour de justice, 2018-08-30, FR</w:t>
      </w:r>
    </w:p>
    <w:p>
      <w:r>
        <w:rPr>
          <w:b/>
        </w:rPr>
        <w:t xml:space="preserve">Quelle: </w:t>
      </w:r>
      <w:r>
        <w:t>https://mcp.opencaselaw.ch/entscheid/ge_gerichte_ATAS_565_2020</w:t>
      </w:r>
    </w:p>
    <w:p>
      <w:r>
        <w:t>FR: GE_GERICHTE ATAS/565/2020 du 30 août 2018</w:t>
      </w:r>
    </w:p>
    <w:p>
      <w:r>
        <w:t>IT: GE_GERICHTE ATAS/565/2020 del 30 agosto 2018</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Selon l'art. 6 al. 1 LAA, les prestations d'assurance sont allouées en cas d'accident professionnel, d'accident non professionnel et de maladie professionnelle. Conformément à l’art. 4 LPGA, est réputée accident toute atteinte dommageable, soudaine et involontaire, portée au corps humain par une cause extérieure extraordinaire qui compromet la santé physique, mentale ou psychique ou qui entraîne la mort. b.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8C_235/2018 du 16 avril 2019 consid. 3.1).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(ATF 130 V 117). Pour les accidents survenus dans l'exercice du sport, l'existence d'un événement accidentel doit être niée lorsque et dans la mesure où le risque inhérent à l'exercice sportif en cause se réaliste. Autrement dit, le caractère extraordinaire de la cause</w:t>
      </w:r>
    </w:p>
    <w:p>
      <w:r>
        <w:t>A/1514/2018 - 17/26 - externe doit être nié lorsqu'une atteinte à la santé se produit alors que le sport est exercé sans que survienne un incident particulier. c.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L’exigence d’un lien de causalité naturelle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d. En vertu de l'art. 36 al. 1 LAA, les prestations pour soins, les remboursements de frais ainsi que les indemnités journalières et les allocations pour impotent ne sont</w:t>
      </w:r>
    </w:p>
    <w:p>
      <w:r>
        <w:t>A/1514/2018 - 18/26 -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a. Aux termes de l’art. 6 al. 2 LAA,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 les lésions du tympan (let. h). b.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déchirure de la coiffe des rotateurs était assimilée à une déchirure de tendons au sens de l’art. 9 al. 2 let. f aOLAA (ATF 123 V 43 consid. 2b). La liste des lésions corporelles figurant à l’art. 6 al. 2 LAA correspond à celle de l’art. 9 al. 2 aOLAA, si bien que la jurisprudence développée sous l’empire de l’ancien droit relative à la qualification d’une lésion comme étant analogue à celle causée par un accident demeure applicable (cf. Kaspar GEHRING, KVG/UVG Kommentar, Bundesgesetze über die Krankenversicherung, die Unfallversicherung und den Allgemeinen Teil des Sozialversicherungsrechts [ATSG] mit weiteren Erlassen, 2018, n. 13 ad Art. 6 UVG).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w:t>
      </w:r>
    </w:p>
    <w:p>
      <w:r>
        <w:t>A/1514/2018 - 19/26 -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c. Dans un arrêt de principe 8C_22/2019 du 24 septembre 2019,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 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w:t>
      </w:r>
    </w:p>
    <w:p>
      <w:r>
        <w:t>A/1514/2018 - 20/26 -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w:t>
      </w:r>
    </w:p>
    <w:p>
      <w:r>
        <w:t>A/1514/2018 - 21/26 -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Le juge des assurances sociales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w:t>
      </w:r>
    </w:p>
    <w:p>
      <w:r>
        <w:t>A/1514/2018 - 22/26 -</w:t>
      </w:r>
    </w:p>
    <w:p>
      <w:r>
        <w:rPr>
          <w:b/>
        </w:rPr>
        <w:t>E. 11</w:t>
      </w:r>
    </w:p>
    <w:p>
      <w:r>
        <w:t>a. En l’espèce, par décision du 20 février 2018, confirmée sur opposition le 27 mars 2018, l’intimée a mis un terme à ses prestations avec effet au 8 novembre 2017, refusant ainsi de prendre en charge l’intervention du 22 novembre 2017 et de verser au recourant des indemnités journalières suite à l’incapacité de travail qui a suivi. Elle a en effet retenu, se fondant sur l’appréciation du Dr H______, confirmée par la suite par la Dresse I______, que l’accident assuré n’avait causé qu’une contusion au niveau de l’épaule qui n’avait pu entraîner les lésions de la coiffe des rotateurs, et que les troubles subsistant au-delà du 8 novembre 2017 n’étaient plus dus à l’accident du 19 août 2017. b. Le recourant se fonde pour sa part sur l’avis du Dr G______, lequel conteste les conclusions des médecins-conseils de l’intimée. Il affirme que la chute du 19 août 2017, avec réception sur l’épaule droite, a provoqué les troubles qui ont justifié l’opération du 22 novembre 2017 et l’arrêt de travail subséquent.</w:t>
      </w:r>
    </w:p>
    <w:p>
      <w:r>
        <w:rPr>
          <w:b/>
        </w:rPr>
        <w:t>E. 12</w:t>
      </w:r>
    </w:p>
    <w:p>
      <w:r>
        <w:t>a. Au préalable, la Cour de céans relève que la position de l’intimée apparait ambigüe. En effet, dans ses décisions des 20 février et 27 mars 2018, elle a clairement justifié son refus de prestations par le retour au statu quo sine, ce qui présuppose l’admission de l’existence d’un événement accidentel. Or, dans sa duplique du 3 octobre 2018, elle s’est référée à la jurisprudence, selon laquelle un assureur-accident qui n'a encore alloué aucune prestation peut, sans devoir invoquer un motif de reconsidération ou de révision procédurale, nier son obligation de prendre en charge le cas en alléguant le fait que l'évènement assuré - selon une appréciation correcte de la situation - n'était jamais survenu (ATF 130 V 380 consid. 2.3.1). Elle semble donc désormais exclure que le recourant ait été victime d’un accident le 19 août 2017. b. Aucun élément ne permet de douter des déclarations du recourant relatives aux circonstances du sinistre, à savoir qu’il a perdu l'équilibre lors d’une course à pied après avoir trébuché, qu’il a chuté et est tombé sur son membre supérieur droit. Par ailleurs, il n’est pas contestable que la pratique de la course à pieds a en l’occurrence été marquée par la survenance d’un accident. Compte tenu du déroulement non programmé du mouvement, le facteur extérieur constitue également le facteur extraordinaire. c. Partant, la condition du facteur extérieur extraordinaire est remplie, tout comme les autres conditions fixées par l'art. 4 LPGA. Ainsi, conformément à la récente jurisprudence fédérale, dès lors que le recourant a été victime d’un accident au sens de l’art. 4 LPGA, l’intimée est tenue de verser des prestations jusqu'à ce que l'accident du 19 août 2017 ne représente plus la cause naturelle et suffisante, c'est-à-dire jusqu'à ce que l’atteinte à la santé soit fondée uniquement et exclusivement sur des causes autres qu’accidentelles</w:t>
      </w:r>
    </w:p>
    <w:p>
      <w:r>
        <w:t>A/1514/2018 - 23/26 -</w:t>
      </w:r>
    </w:p>
    <w:p>
      <w:r>
        <w:rPr>
          <w:b/>
        </w:rPr>
        <w:t>E. 13</w:t>
      </w:r>
    </w:p>
    <w:p>
      <w:r>
        <w:t>À partir de quand les facteurs étrangers sont-ils devenus, au degré de la vraisemblance prépondérante (plus de 50%), les seules causes influant sur l’état de santé du recourant (statu quo sine ou statu quo ante atteint) ?</w:t>
      </w:r>
    </w:p>
    <w:p>
      <w:r>
        <w:rPr>
          <w:b/>
        </w:rPr>
        <w:t>E. 14</w:t>
      </w:r>
    </w:p>
    <w:p>
      <w:r>
        <w:t>Pour autant que l’événement du 19 août 2017 ait joué un rôle, même partiel, dans la survenance de ces atteintes, celles-ci ont-elles entraîné une incapacité de travail ? Si oui, depuis quand et à quel taux ? Comment ce taux a-t-il évolué ?</w:t>
      </w:r>
    </w:p>
    <w:p>
      <w:r>
        <w:rPr>
          <w:b/>
        </w:rPr>
        <w:t>E. 15</w:t>
      </w:r>
    </w:p>
    <w:p>
      <w:r>
        <w:t>Que pensez-vous des appréciations et des conclusions du Dr H______ des 19 février et 17 avril 2018 ?</w:t>
      </w:r>
    </w:p>
    <w:p>
      <w:r>
        <w:rPr>
          <w:b/>
        </w:rPr>
        <w:t>E. 16</w:t>
      </w:r>
    </w:p>
    <w:p>
      <w:r>
        <w:t>Que pensez-vous des appréciations et des conclusions de la Dresse I______ des 3 juillet, 27 septembre 2018 et 14 février 2019 ?</w:t>
      </w:r>
    </w:p>
    <w:p>
      <w:r>
        <w:rPr>
          <w:b/>
        </w:rPr>
        <w:t>E. 17</w:t>
      </w:r>
    </w:p>
    <w:p>
      <w:r>
        <w:t>Que pensez-vous des appréciations et des conclusions du Dr G______ des 14 et 25 avril, 30 août 2018, et 30 janvier 2019 ?</w:t>
      </w:r>
    </w:p>
    <w:p>
      <w:r>
        <w:rPr>
          <w:b/>
        </w:rPr>
        <w:t>E. 18</w:t>
      </w:r>
    </w:p>
    <w:p>
      <w:r>
        <w:t>Êtes-vous d’accord avec l’appréciation du Dr H______ et de la Dresse I______ selon laquelle le recourant a tout au plus subi une contusion de son épaule droite et que les effets délétères du traumatisme étaient éteints, au plus tard deux mois et demi après l’’accident ? 5. Faire toutes autres observations ou suggestions utiles. 6. Invite l’expert à déposer son rapport en trois exemplaires dans les meilleurs délais auprès de la chambre de céans. 7. Réserve le fond ainsi que le sort des frais jusqu’à droit jugé au fond.</w:t>
      </w:r>
    </w:p>
    <w:p>
      <w:r>
        <w:t>La greffière</w:t>
      </w:r>
    </w:p>
    <w:p>
      <w:r>
        <w:t>Marie-Catherine SECHAUD</w:t>
      </w:r>
    </w:p>
    <w:p>
      <w:r>
        <w:t>La présidente</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