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ATAS/565/2016 vom 5. Juli 2016</w:t>
      </w:r>
    </w:p>
    <w:p>
      <w:r>
        <w:t>GE Cour de justice, 2016-07-05, FR</w:t>
      </w:r>
    </w:p>
    <w:p>
      <w:r>
        <w:rPr>
          <w:b/>
        </w:rPr>
        <w:t xml:space="preserve">Quelle: </w:t>
      </w:r>
      <w:r>
        <w:t>https://mcp.opencaselaw.ch/entscheid/ge_gerichte_ATAS_565_2016</w:t>
      </w:r>
    </w:p>
    <w:p>
      <w:r>
        <w:t>FR: GE_GERICHTE ATAS/565/2016 du 5 juillet 2016</w:t>
      </w:r>
    </w:p>
    <w:p>
      <w:r>
        <w:t>IT: GE_GERICHTE ATAS/565/2016 del 5 luglio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a été formé, compte tenu des féries du 18 décembre 2015 au 2 janvier 2016 inclusivement, dans le délai et selon la forme prescrits (art. 38 al. 4 let. c, art. 60 et ss LPGA). Le recours est par conséquent recevable.</w:t>
      </w:r>
    </w:p>
    <w:p>
      <w:r>
        <w:rPr>
          <w:b/>
        </w:rPr>
        <w:t>E. 4</w:t>
      </w:r>
    </w:p>
    <w:p>
      <w:r>
        <w:t>Le litige porte sur la question de savoir si le recourant a droit à des prestations d'invalidité.</w:t>
      </w:r>
    </w:p>
    <w:p>
      <w:r>
        <w:rPr>
          <w:b/>
        </w:rPr>
        <w:t>E. 5</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w:t>
      </w:r>
    </w:p>
    <w:p>
      <w:r>
        <w:t>A/297/2016 - 11/17 -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t>A/297/2016 - 12/17 -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w:t>
      </w:r>
    </w:p>
    <w:p>
      <w:r>
        <w:t>A/297/2016 - 13/17 -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w:t>
      </w:r>
    </w:p>
    <w:p>
      <w:r>
        <w:t>A/297/2016 - 14/17 - telle mesure est nécessaire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l'intimé a retenu, en se fondant sur l'expertise du Dr F______, que le recourant ne présente pas d'atteinte incapacitante, ce que ce dernier conteste en se référant à l'avis de ses médecins traitants. b. Par rapport du 12 octobre 2015, le Dr F______ a diagnostiqué, sans répercussion sur la capacité de travail du recourant, un épisode dépressif, en rémission partielle (F32.5), un trouble panique sans agoraphobie (F41.0) et un syndrome de dépendance alcoolique (F12.25). Il n’y avait pas de limitations fonctionnelles et il n’y avait jamais eu d’incapacité de travail sur la durée. Selon l'expert, le recourant présentait essentiellement un syndrome de dépendance alcoolique primaire qui était particulièrement grave. Sans ce problème de dépendance, le recourant serait capable de travailler à 100%. En l’absence de graves troubles psychiatriques comorbides et au vu d’une pleine capacité de discernement, l’abstinence était raisonnablement exigible. À la lecture des pièces versées au dossier, force est de constater que les conclusions de l'expert et des médecins traitants du recourant sont diamétralement opposées. En particulier, l'expert n'a retenu aucune atteinte psychique entraînant une incapacité de travail, alors que le Dr D______ a diagnostiqué un épisode dépressif sévère sans symptômes psychotiques (F32.2) et d'autres troubles anxieux (F41) entraînant une incapacité de travail totale depuis le 1er septembre 2012 (rapports des 31 janvier et 23 novembre 2013). Selon l'expert, l'alcoolisme est primaire, alors que le Dr C______ est d'avis que la dépendance est nettement secondaire au syndrome anxieux (rapports des 11 février 2014 et 30 novembre 2015). Il ne suffit certes pas que les médecins traitants expriment une opinion divergente de celle d'un expert pour faire douter des conclusions de celui-ci. Cela étant, la chambre de céans constate que l'appréciation du Dr F______ n'emporte pas la conviction. En effet, on relèvera déjà que tout en admettant que l'épisode dépressif dont souffre le recourant a été plus grave dans le passé, l'expert n'explique toutefois pas quel était alors le diagnostic présenté par le recourant, ni à partir de quand il y aurait eu</w:t>
      </w:r>
    </w:p>
    <w:p>
      <w:r>
        <w:t>A/297/2016 - 15/17 - une amélioration. Son expertise ne permet pas non plus de comprendre pour quelle raison l'épisode dépressif aggravé n'aurait eu aucune répercussion sur la capacité de travail du recourant. Par ailleurs, alors qu'il apparaît que le recourant a été hospitalisé à plusieurs reprises, selon le rapport du Dr C______ du 13 décembre 2012, l'expert n'a néanmoins pas sollicité une copie des comptes-rendus des hospitalisations. En outre, le rapport du Dr F______ ne comporte pas une anamnèse détaillée et descriptive des faits permettant de déterminer la chronologie et l'étiologie de l'alcoolisme. Ainsi, son expertise ne permet pas de déterminer l'histoire de la consommation d'alcool et à partir de quand celle-ci est devenue problématique, ni si la dépendance alcoolique était présente avant l'apparition des troubles dépressif et anxieux. Qui plus est, et surtout, en estimant que l'alcoolisme serait primaire, le Dr F______ s'est prononcé in abstracto, sans tenir compte de la situation concrète du recourant. On soulignera que si l'expérience clinique et la littérature médicale peuvent certes entrer en considération, il importe toutefois que les enseignements tirés de cette expérience soient confrontés à la réalité du cas concret. Or, en l'occurrence, l'expert s'est exclusivement fondé sur les données de la littérature pour retenir que la dépendance alcoolique était primaire (p. 16 du rapport d'expertise). Compte tenu de ces éléments, force est de constater que les conclusions auxquelles a abouti le Dr F______ n'emportent pas la conviction de la chambre de céans. Par ailleurs, dans la mesure où la chambre de céans ne saurait statuer sur le présent litige en se fondant uniquement sur les appréciations des Drs C______ et D______, médecin et psychiatre traitants, il s'ensuit qu'elle n'est pas en mesure de se prononcer de manière définitive sur les atteintes psychiques dont souffre le recourant. En outre, sur le plan somatique, on relèvera que le recourant souffre d'un syndrome d'apnées du sommeil sévère non traité (rapports du 16 juin 2015 du Dr H______ et du 25 janvier 2016 de la Dresse I______). Or, cette atteinte n'a fait l'objet d'aucune instruction de la part de l'intimé, alors que le recourant se plaint de troubles du sommeil. Dans la mesure où l'intimé n'a pas du tout instruit ce point médical, il se justifie dès lors de lui renvoyer la cause afin qu'il procède à l'examen des éventuelles conséquences du syndrome d'apnées du sommeil sévère sur la capacité de travail du recourant et mette en œuvre une nouvelle expertise psychiatrique. Dans ce cadre, l'expert mandaté examinera si un bilan neuropsychologique est par ailleurs nécessaire.</w:t>
      </w:r>
    </w:p>
    <w:p>
      <w:r>
        <w:rPr>
          <w:b/>
        </w:rPr>
        <w:t>E. 11</w:t>
      </w:r>
    </w:p>
    <w:p>
      <w:r>
        <w:t>Vu ce qui précède, le recours est partiellement admis, la décision querellée annulée et le dossier renvoyé à l'intimé afin qu'il procède conformément aux considérants.</w:t>
      </w:r>
    </w:p>
    <w:p>
      <w:r>
        <w:rPr>
          <w:b/>
        </w:rPr>
        <w:t>E. 12</w:t>
      </w:r>
    </w:p>
    <w:p>
      <w:r>
        <w:t>Représenté par un mandataire, le recourant, qui obtient partiellement gain de cause, a droit à une indemnité de CHF 2'000.- à titre de dépens (art. 61 let. g LPGA ; art. 89 H de la loi sur la procédure administrative du 12 septembre 1985 [LPA –</w:t>
      </w:r>
    </w:p>
    <w:p>
      <w:r>
        <w:t>A/297/2016 - 16/17 - E 5 10]; art. 6 du règlement sur les frais, émoluments et indemnités en procédure administrative du 30 juillet 1986 [RFPA - E 5 10.03]).</w:t>
      </w:r>
    </w:p>
    <w:p>
      <w:r>
        <w:rPr>
          <w:b/>
        </w:rPr>
        <w:t>E. 13</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A/297/2016 - 17/17 -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