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ATAS/565/2014 vom 30. April 2014</w:t>
      </w:r>
    </w:p>
    <w:p>
      <w:r>
        <w:t>GE Cour de justice, 2014-04-30, FR</w:t>
      </w:r>
    </w:p>
    <w:p>
      <w:r>
        <w:rPr>
          <w:b/>
        </w:rPr>
        <w:t xml:space="preserve">Quelle: </w:t>
      </w:r>
      <w:r>
        <w:t>https://mcp.opencaselaw.ch/entscheid/ge_gerichte_ATAS_565_2014</w:t>
      </w:r>
    </w:p>
    <w:p>
      <w:r>
        <w:t>FR: GE_GERICHTE ATAS/565/2014 du 30 avril 2014</w:t>
      </w:r>
    </w:p>
    <w:p>
      <w:r>
        <w:t>IT: GE_GERICHTE ATAS/565/2014 del 30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 Sa compétence pour juger du cas d’espèce est ainsi établie.</w:t>
      </w:r>
    </w:p>
    <w:p>
      <w:r>
        <w:rPr>
          <w:b/>
        </w:rPr>
        <w:t>E. 2</w:t>
      </w:r>
    </w:p>
    <w:p>
      <w:r>
        <w:t>La question litigieuse porte uniquement sur la remise de l'obligation de restituer des prestations complémentaires cantonales et fédérales, la décision de restitution du 13 juin 2012 étant définitive (ATAS/15/2012).</w:t>
      </w:r>
    </w:p>
    <w:p>
      <w:r>
        <w:rPr>
          <w:b/>
        </w:rPr>
        <w:t>E. 3</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w:t>
      </w:r>
    </w:p>
    <w:p>
      <w:r>
        <w:rPr>
          <w:b/>
        </w:rPr>
        <w:t>E. 4</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w:t>
      </w:r>
    </w:p>
    <w:p>
      <w:r>
        <w:t>A/3126/2013 - 7/11 - présente loi et fixer les conditions d’octroi de ces prestations (al. 2). La loi sur les prestations complémentaires cantonales du 25 octobre 1968 (LPCC; RS J 4 25) définit les prestations cantonales.</w:t>
      </w:r>
    </w:p>
    <w:p>
      <w:r>
        <w:rPr>
          <w:b/>
        </w:rPr>
        <w:t>E. 5</w:t>
      </w:r>
    </w:p>
    <w:p>
      <w:r>
        <w:t>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w:t>
      </w:r>
    </w:p>
    <w:p>
      <w:r>
        <w:rPr>
          <w:b/>
        </w:rPr>
        <w:t>E. 6</w:t>
      </w:r>
    </w:p>
    <w:p>
      <w:r>
        <w:t>L'art. 24 al. 1, 2e phrase LPCC énonce les mêmes principes que l'art. 25 LPGA.</w:t>
      </w:r>
    </w:p>
    <w:p>
      <w:r>
        <w:rPr>
          <w:b/>
        </w:rPr>
        <w:t>E. 7</w:t>
      </w:r>
    </w:p>
    <w:p>
      <w:r>
        <w:t>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Arrêt du Tribunal Fédéral du 16 août 2011 dans la cause 9C_41/2011).</w:t>
      </w:r>
    </w:p>
    <w:p>
      <w:r>
        <w:rPr>
          <w:b/>
        </w:rPr>
        <w:t>E. 8</w:t>
      </w:r>
    </w:p>
    <w:p>
      <w:r>
        <w:t>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force est d’admettre la bonne foi.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w:t>
      </w:r>
    </w:p>
    <w:p>
      <w:r>
        <w:t>A/3126/2013 - 8/11 -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il ressort du dossier que le recourant est atteint d’un trouble affectif bipolaire mixte avec intrication de phases dépressives et maniaques (CIM 10). Il a confirmé lors de son audition qu’il oubliait fréquemment des documents, des tâches à exécuter, voire même la fin de ses phrases. Conscient de ses difficultés, il se fait aider par une association. Parmi les différentes lettres versées au dossier, les dernières sont dactylographiées, témoignant du moment où il s’est fait épauler dans ses démarches juridiques.</w:t>
      </w:r>
    </w:p>
    <w:p>
      <w:r>
        <w:rPr>
          <w:b/>
        </w:rPr>
        <w:t>E. 12</w:t>
      </w:r>
    </w:p>
    <w:p>
      <w:r>
        <w:t>L’épouse du recourant a confirmé l’état de santé de son mari lequel est fréquemment confronté à des oublis, qu’il s’agisse de rendez-vous, du lieu où il pose des documents, de la fin des phrases. Elle considère que l’état de santé de celui-ci se péjore. Mme B______ a fait le choix de responsabiliser son mari et de</w:t>
      </w:r>
    </w:p>
    <w:p>
      <w:r>
        <w:t>A/3126/2013 - 9/11 - lui laisser gérer ses affaires courantes. Comme elle l’a indiqué à la chambre de céans, il s’agit, pour elle, d’une question de respect de la dignité de son conjoint. Elle assume le fait que parfois, M. A______ s’égare, perde des documents ou ne fasse pas les démarches qu’il devrait entreprendre dans les délais. Elle souhaite rester soutenante sans être infantilisante avec son mari et considère que son rôle d’épouse, soucieuse que son mari conserve le plus longtemps possible son autonomie, implique qu’elle ne prenne pas le relais en le déchargeant de la gestion de son quotidien. C’est tant par affection, par conception du rôle d’épouse que mue par trente ans d’activité professionnelle d’aide hospitalière que Madame B______ a fait ce choix. Elle le pousse à rester impliqué dans la problématique médicale et administrative et le contraint à aller chercher de l’aide auprès de tiers, à l’instar des contacts que M. A______ a dû nouer avec l’association alors même que Mme B______ travaillait encore à 100%.</w:t>
      </w:r>
    </w:p>
    <w:p>
      <w:r>
        <w:rPr>
          <w:b/>
        </w:rPr>
        <w:t>E. 13</w:t>
      </w:r>
    </w:p>
    <w:p>
      <w:r>
        <w:t>Les documents litigieux ont dûment été transmis au SPC. Aucun élément n’a été délibérément caché. Seul un retard de quatre mois est reproché à l’assuré qui avait toujours tenté de collaborer avec le SPC dans la mesure compatible avec son état de santé.</w:t>
      </w:r>
    </w:p>
    <w:p>
      <w:r>
        <w:rPr>
          <w:b/>
        </w:rPr>
        <w:t>E. 14</w:t>
      </w:r>
    </w:p>
    <w:p>
      <w:r>
        <w:t>Compte tenu de l’état de santé de M. A______, confirmé par son médecin psychiatre, la chambre de céans considère que celui-là était de bonne foi en n’envoyant pas immédiatement les deux documents litigieux, soit le certificat de salaire 2010 de son épouse et la feuille indiquant quelle serait la rente de celle-ci dès le 1er janvier 2011. L’argument selon lequel il pensait que le montant qu’il percevrait des SPC serait augmenté dès l’envoi des papiers est crédible avec le degré de vraisemblance prépondérante requis par la jurisprudence. En effet, il est vraisemblable que celui-ci ait imaginé qu’au vu de la diminution des revenus de son épouse suite à sa préretraite, le montant des PCC doive être augmenté. Il est vraisemblable aussi qu’il n’ait pas imaginé les conséquences du montant perçu par son épouse au titre de « prime 25/30 ans de service ; allocation retraite » sur ses propres PCC de CHF 111.- par mois. L’appréciation de la bonne foi du recourant aurait été différente si son épouse avait bénéficié, depuis le début de l’année 2010, d’une augmentation de salaire qu’il n’ait pas annoncé. En l’espèce, il s’agissait d’un versement, ponctuel, en fin d’année, d’une prime extraordinaire, après 30 ans de service, d’un montant qualifié d’ « allocation retraite », dont on ignore quand le recourant en a connu l’existence. De surcroît, la rente qu’il percevait des SPC portait sur des montants relativement limités (CHF 111.- en 2010 et CHF 161.- en 2011). Les conséquences du calcul rétroactif auquel a du se livrer le SPC pour l’année 2010 n’étaient que peu prévisibles compte tenu de la diminution assez importante des revenus mensuels de son épouse. Il est établi avec le degré de vraisemblance prépondérante requis par la jurisprudence que le recourant n’a pas envisagé les conséquences que cette indemnité pouvait avoir rétrospectivement sur toute l’année 2010 et encore moins sur l’année 2011 où les revenus du couple diminuaient drastiquement.</w:t>
      </w:r>
    </w:p>
    <w:p>
      <w:r>
        <w:t>A/3126/2013 - 10/11 -</w:t>
      </w:r>
    </w:p>
    <w:p>
      <w:r>
        <w:rPr>
          <w:b/>
        </w:rPr>
        <w:t>E. 15</w:t>
      </w:r>
    </w:p>
    <w:p>
      <w:r>
        <w:t>M. A______ remplit les conditions de la bonne foi, compte tenu de la situation, de sa maladie, du choix fait par son épouse de le responsabiliser et de privilégier à long terme la santé de son mari en évitant une dégradation de celui-ci, ce choix étant prioritairement dicté par la longue expérience professionnelle de l’épouse. Compte tenu des éléments qui précèdent, il ne peut pas être reproché à l’assuré de négligence, même légère, pour n’avoir pas envoyé les documents plus rapidement. Dans ces conditions, il ne peut être retenu à l'encontre de l'assuré qu'il ne serait pas de bonne foi. La première condition nécessaire et cumulative à l'obtention de la remise est remplie.</w:t>
      </w:r>
    </w:p>
    <w:p>
      <w:r>
        <w:rPr>
          <w:b/>
        </w:rPr>
        <w:t>E. 16</w:t>
      </w:r>
    </w:p>
    <w:p>
      <w:r>
        <w:t>Le recours est admis et la décision sur opposition du 23 août 2013 ainsi que la décision du 28 juin 2013 qu'elle confirme doivent être annulées. La cause sera renvoyée à l'intimé pour examen de la condition économique.</w:t>
      </w:r>
    </w:p>
    <w:p>
      <w:r>
        <w:rPr>
          <w:b/>
        </w:rPr>
        <w:t>E. 17</w:t>
      </w:r>
    </w:p>
    <w:p>
      <w:r>
        <w:t>La procédure est gratuite (art. 61 let. a LPGA).</w:t>
      </w:r>
    </w:p>
    <w:p>
      <w:r>
        <w:t>*********</w:t>
      </w:r>
    </w:p>
    <w:p>
      <w:r>
        <w:t>A/3126/2013 - 11/11 - PAR CES MOTIFS, LA CHAMBRE DES ASSURANCES SOCIALES : Statuant A la forme : 1. Déclare le recours recevable. Au fond : 2. L'admet partiellement et annule la décision sur opposition du 23 août 2013 et la décision du 28 juin 2013. 3. Renvoie la cause au SPC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