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ATAS/564/2020 vom 2. Juli 2020</w:t>
      </w:r>
    </w:p>
    <w:p>
      <w:r>
        <w:t>GE Cour de justice, 2020-07-02, FR</w:t>
      </w:r>
    </w:p>
    <w:p>
      <w:r>
        <w:rPr>
          <w:b/>
        </w:rPr>
        <w:t xml:space="preserve">Quelle: </w:t>
      </w:r>
      <w:r>
        <w:t>https://mcp.opencaselaw.ch/entscheid/ge_gerichte_ATAS_564_2020</w:t>
      </w:r>
    </w:p>
    <w:p>
      <w:r>
        <w:t>FR: GE_GERICHTE ATAS/564/2020 du 2 juillet 2020</w:t>
      </w:r>
    </w:p>
    <w:p>
      <w:r>
        <w:t>IT: GE_GERICHTE ATAS/564/2020 del 2 luglio 2020</w:t>
      </w:r>
    </w:p>
    <w:p>
      <w:pPr>
        <w:pStyle w:val="Heading2"/>
      </w:pPr>
      <w:r>
        <w:t>Erwägungen</w:t>
      </w:r>
    </w:p>
    <w:p>
      <w:r>
        <w:rPr>
          <w:b/>
        </w:rPr>
        <w:t>E. 27</w:t>
      </w:r>
    </w:p>
    <w:p>
      <w:r>
        <w:t>Dans sa détermination du 4 décembre 2018, l'intimé a conclu au rejet du recours. Au vu des éléments du dossier, du parcours personnel et professionnel de la recourante et du rapport d'examen du SMR du 19 septembre 2017, il apparaissait, au degré de la vraisemblance requis par la jurisprudence, que la recourante n'aurait pas exercé une activité à temps plein sans atteinte à la santé, mais à temps partiel. Le rapport d'examen du SMR du 19 septembre 2017 remplissait tous les réquisits jurisprudentiels pour se voir reconnaître une pleine valeur probante. Il était fondé sur une connaissance du dossier médical intégral, prenait en considération les plaintes de la recourante, était basé sur un examen clinique approfondi et ses conclusions étaient claires et motivées. Au surplus, les nouvelles pièces produites par la recourante avaient été soumises au SMR, lequel avait maintenu ses précédentes conclusions. Ainsi, se ralliant à la position du SMR, l'intimé estimait que la situation médicale de la recourante avait été parfaitement élucidée et que c'était à bon droit et en pleine connaissance de cause qu'une rente d'invalidité limitée dans le temps lui avait été octroyée. Était joint le rapport de la doctoresse O______ du SMR, du 3 décembre 2018, indiquant que les rapports des Drs F______ et G______ retenaient les mêmes atteintes que celles déjà discutées précédemment, sans apporter d'éléments nouveaux. En outre, le Dr F______ posait en sus le diagnostic de phobie sociale sans amener d'élément objectif pour cette atteinte. Il indiquait une atténuation des troubles psychiques tout en retenant encore une capacité de travail nulle dans toute activité. Cette évaluation n'était pas cohérente. Les symptômes décrits par le Dr F______ correspondaient au diagnostic de dysthymie retenu par la Dresse K______.</w:t>
      </w:r>
    </w:p>
    <w:p>
      <w:r>
        <w:t>A/3724/2018 - 11/35 -</w:t>
      </w:r>
    </w:p>
    <w:p>
      <w:r>
        <w:rPr>
          <w:b/>
        </w:rPr>
        <w:t>E. 28</w:t>
      </w:r>
    </w:p>
    <w:p>
      <w:r>
        <w:t>Dans sa réplique du 4 janvier 2019, la recourante a persisté dans ses conclusions, en sollicitant son audition et celle de ses médecins traitants, soit les Drs F______, G______ et M______. Reprenant ses précédents développements quant à son statut et à la méthode d'évaluation applicable, elle ajoutait que, dans la mesure où elle recherchait un emploi à 100 % lorsqu'elle s'était inscrite au chômage, il apparaissait au degré de la vraisemblance prépondérante, qu'elle aurait exercé une activité à temps plein sans atteinte à la santé. Elle demandait par ailleurs son audition par la chambre de céans afin de développer ce point. Quant à la question de son invalidité, l'intimé ne se prononçait pas sur les griefs qu'elle avait développés concernant l'absence d'instruction de son cas selon la jurisprudence en cas de troubles psychiques (procédure structurée de l'administration des preuves à l'aide d'indicateurs). Il était cependant manifeste que le rapport du SMR ne les respectait pas. S'agissant de l'avis du SMR du 3 décembre 2018, celui-ci retenait de manière erronée que le nouveau diagnostic posé par le Dr F______ de phobie sociale ne reposait sur aucun élément objectif. Il n'apparaissait pas que la psychiatrie était la spécialité de la Dresse O______ du SMR. Étaient joints les documents suivants : - un questionnaire médical rempli le 10 décembre 2018 par le Dr M______ indiquant que le SMR surestimait la capacité de travail de la recourante d'un point de vue psychique et cognitif, que le diagnostic retenu était celui de « HIV – Association Neurocognitiv Disorder » (ci-après : HAND), que la capacité de travail habituelle de la recourante dans son activité habituelle d'agente de nettoyage et dans une activité adaptée à ses limitations fonctionnelles était de 50 %, que sa capacité de travail était réduite par une diminution de la capacité de rendement en raison des atteintes à la santé. En outre, la fatigabilité, la diminution des capacités de concentration et de mémoire résultaient de trois facteurs, soit un état dépressif, les effets secondaires de la médication antirétrovirale et psychotrope, ainsi que du HAND ; - un rapport d'examen neuropsychologique et neurocomportemental des HUG du 6 décembre 2018, lequel mettait en évidence : « sur le plan clinique, une fatigabilité et un ralentissement psychomoteur ; une symptomatologie anxio-dépressive significative, telle que rapportée par la patiente dans un auto-questionnaire et observée cliniquement en séance pouvant l'amener à perdre ses moyens lors de la réalisation de certaines tâches ; au niveau du langage oral, une expression spontanée globalement informative avec toutefois quelques réponses à côté et des scores insuffisants dans deux épreuves formelles (latences dans les réponses à la dénomination d'images, avec un léger défaut du mot ; rendement insuffisant à la fluence verbale sémantique) ;</w:t>
      </w:r>
    </w:p>
    <w:p>
      <w:r>
        <w:t>A/3724/2018 - 12/35 - des scores sévèrement déficitaires dans une épreuve de mémoire épisodique verbale (courbe d'apprentissage sévèrement altérée et décroissante ; performances nettement insuffisantes en évocation différée et non améliorées en reconnaissance terme à terme) ; des troubles attentionnels se traduisant notamment par une altération sévère de la vitesse de traitement observée cliniquement ainsi que dans l'ensemble des épreuves chronométrées réalisées ; une altération de la mémoire à court terme. Par ailleurs, le reste des fonctions cognitives testées est préservé lors d'un bref sondage (langage écrit, praxies, gnosies visuelles) ».</w:t>
      </w:r>
    </w:p>
    <w:p>
      <w:r>
        <w:rPr>
          <w:b/>
        </w:rPr>
        <w:t>E. 29</w:t>
      </w:r>
    </w:p>
    <w:p>
      <w:r>
        <w:t>Le 21 janvier 2019, l'intimé a dupliqué, en maintenant ses conclusions et sa position. Il produisait un nouvel avis du SMR du même jour, fondé sur les nouvelles pièces produites par la recourante, remarquant que le Dr M______ ne se prononçait pas sur la capacité de travail de celle-ci et laissait le soin au Dr F______ et à la Dresse G______ de le faire dès le mois de mai 2017. De plus, le Dr M______ dépassait son champ de compétence et se prononçait sur les troubles psychiques et cognitifs alors qu'il n'était ni psychiatre, ni neurologue. Son évaluation ne pouvait donc être valablement suivie. S'agissant de l'examen neurologique, le SMR relevait que la Dresse K______ ne retrouvait pas de troubles de la mémoire, de la concentration ou de l'attention ni de ralentissement psychomoteur, alors qu'elle avait examiné la recourante à deux reprises, et qu’elle avait retrouvé un status psychiatrique superposable. Le SMR remarquait également que le VIH était connu depuis 2010, de sorte qu'il était étonnant qu'un diagnostic HAND n'ait été posé qu'en décembre 2018. Ainsi, le SMR considérait qu'il n'y avait pas de troubles cognitifs majeurs jusqu'à fin août 2017 au moins, correspondant à la date du dernier examen de la Dresse K______. Il était possible que l'état psychiatrique de la recourante se fût aggravé depuis cet examen, mais les éléments au dossier montraient que cette aggravation était postérieure à la décision querellée. Par conséquent, les conclusions précédentes du SMR restaient valables. L'intimé se ralliait à la position de ce dernier et considérait que les pièces produites ne permettaient pas de modifier son appréciation du cas. Dans le cadre de la présente procédure, seuls pouvaient être retenus les faits antérieurs au 25 septembre 2018.</w:t>
      </w:r>
    </w:p>
    <w:p>
      <w:r>
        <w:rPr>
          <w:b/>
        </w:rPr>
        <w:t>E. 30</w:t>
      </w:r>
    </w:p>
    <w:p>
      <w:r>
        <w:t>Dans ses écritures du 31 janvier 2019, la recourante a relevé que le fait que le Dr M______ indiquait, le 1er mars 2018, s'en référer à ses collègues psychiatre et généraliste pour établir sa capacité de travail à partir du mois de mai 2017, n'infirmait en rien son avis médical du 10 décembre 2018, qui n'était pas critiqué sur le fond par le SMR. Bien qu'il ne fût ni psychiatre ni neurologue, le Dr M______ était à même de procéder à une évaluation de sa capacité de travail sous l'angle des atteintes causées par le VIH, ce qu'il faisait précisément en se référant au diagnostic HAND. Concernant le moment auquel ce diagnostic avait été</w:t>
      </w:r>
    </w:p>
    <w:p>
      <w:r>
        <w:t>A/3724/2018 - 13/35 - posé, dans son rapport du 1er mars 2018, le Dr M______ indiquait déjà qu'un bilan neuropsychologique extensif pourrait certainement être instructif. La Dresse K______ n'avait pas procédé à des tests neurocognitifs, mais uniquement à un examen clinique psychiatrique, de sorte que l'intimé ne pouvait affirmer que son état psychiatrique se serait aggravé après le prononcé de la décision en cause uniquement. Le dernier examen clinique datait du 29 août 2017, tandis que la décision litigieuse avait été rendue plus d'une année après. Il n'était donc pas exclu que son état de santé se fût péjoré entre ces deux dates.</w:t>
      </w:r>
    </w:p>
    <w:p>
      <w:r>
        <w:rPr>
          <w:b/>
        </w:rPr>
        <w:t>E. 31</w:t>
      </w:r>
    </w:p>
    <w:p>
      <w:r>
        <w:t>En parallèle, la recourante a adressé directement un courrier à l'intimé, lui demandant de considérer que les éléments versés à la présente procédure valaient subsidiairement en tant que nouvelle demande de prestations d'invalidité.</w:t>
      </w:r>
    </w:p>
    <w:p>
      <w:r>
        <w:rPr>
          <w:b/>
        </w:rPr>
        <w:t>E. 32</w:t>
      </w:r>
    </w:p>
    <w:p>
      <w:r>
        <w:t>Le 28 août 2019 a eu lieu une audience de comparution personnelle des parties. La recourante a notamment confirmé qu'elle n'avait pas cherché du travail supplémentaire à celui qu'elle effectuait pour son dernier employeur à cause de son état de santé. Elle avait pu travailler de 2012 à 2015 mais c'était difficile, les douleurs ayant augmenté progressivement. Avant d'être en arrêt de travail, elle travaillait à 90 % ou 100 %. Elle avait deux emplois réguliers du lundi au vendredi. Après trois ans d'emploi à la C______, elle avait commencé à se sentir mal d'effectuer les deux emplois en parallèle. En arrêt de travail depuis 2015, son état dépressif et sa fatigue étaient devenus beaucoup plus importants en raison des traitements qu'elle prenait pour la dépression et le VIH. Elle prenait également des médicaments contre la douleur tous les jours et pour l'aider à dormir. Ses journées étaient tristes à cause de la fatigue. Elle préférait être à son domicile pour se reposer. Si elle sortait, même pour une consultation médicale, elle se sentait très fatiguée. Elle ne sortait pas beaucoup. À la maison, elle faisait ce qu'elle pouvait. C'était surtout sa fille qui l'aidait pour le ménage. Elle n'avait pas de contact avec ses voisins ni de famille à Genève. Le service social et sa psychologue l'aidaient pour ses affaires administratives. En raison de son état de santé, elle n'avait pas pu suivre régulièrement ses cours de français et avait de la peine à se concentrer. C'était principalement sa fille qui allait faire les courses. Elle n'avait plus beaucoup de contacts avec son fils aîné. Elle recevait une pension de CHF 1'300.- pour sa fille, son ex-mari ne pouvant pas lui verser la totalité de la contribution d'entretien de CHF 2'100.-. Elle n'avait plus de contact avec lui. Sa fille avait gardé des contacts réguliers avec son père et partait parfois en vacances avec lui. Si elle le pouvait, elle souhaiterait travailler à 100 %. Malheureusement, sa santé ne le lui permettait pas. Elle confirmait demander une expertise qui devrait également comporter un volet interne à cause du VIH et pour faire la liaison entre toutes les affections, ainsi qu'un examen neurocognitif. Sur quoi, les parties ont été informées que la cause était gardée à juger.</w:t>
      </w:r>
    </w:p>
    <w:p>
      <w:r>
        <w:rPr>
          <w:b/>
        </w:rPr>
        <w:t>E. 33</w:t>
      </w:r>
    </w:p>
    <w:p>
      <w:r>
        <w:t>Par courriers des 26 et 16 septembre 2019, la recourante a transmis à la chambre de céans une copie de ses contrats de travail des 15 septembre 2006 et 12 mai 2014</w:t>
      </w:r>
    </w:p>
    <w:p>
      <w:r>
        <w:t>A/3724/2018 - 14/35 - auprès de la C______ et de la D______ pour un taux d'activité de respectivement, 70 % et un maximum de 18 heures par semaine. Elle a également précisé qu'elle n'était pas en mesure de fournir une copie de son contrat avec B______.</w:t>
      </w:r>
    </w:p>
    <w:p>
      <w:r>
        <w:rPr>
          <w:b/>
        </w:rPr>
        <w:t>E. 34</w:t>
      </w:r>
    </w:p>
    <w:p>
      <w:r>
        <w:t>Le 29 mai 2020, la chambre de céans a informé les parties de son intention de confier une expertise psychiatrique et rhumatologique à la doctoresse P______, spécialiste en psychiatrie et psychothérapie FMH, et au docteur Q______, spécialiste en rhumatologie FMH, et leur a transmis le projet de mission d'expertise avec un délai pour se prononcer sur une éventuelle récusation des experts ou sur les questions qui leur étaient adressées.</w:t>
      </w:r>
    </w:p>
    <w:p>
      <w:r>
        <w:rPr>
          <w:b/>
        </w:rPr>
        <w:t>E. 35</w:t>
      </w:r>
    </w:p>
    <w:p>
      <w:r>
        <w:t>Le 8 juin 2020, l'intimé a indiqué qu’en l’absence de motifs justifiant l’expertise, il n’était pas en mesure de se prononcer sur la légitimité d’un tel acte d’instruction, raison pour laquelle il s’y opposait. Aucun élément médical objectif, voire aucun élément de nature clinique ou diagnostique qui aurait été ignoré n’avait été apporté par la recourante dans le cadre de la procédure judiciaire, de sorte que la mise en place d’une telle expertise ne se justifiait pas. Si par impossible la chambre persistait dans son intention d’ordonner l’expertise, l’intimé n’avait pas de motifs de récusation contre les experts annoncés. Le SMR, dans un avis du 8 juin 2020, proposait de joindre la mission d’expertise les demandes suivantes : - en cas de traitement psychotrope, notamment d’antidépresseurs, vérifier la compliance de l’assurée à l’aide d’un dosage sérologique ; - comment le traitement psychotrope de l’assurée, notamment les benzodiazépines, influençaient l’état de celle-ci ? - en cas de suspicion de trouble cognitif, effectuer un bilan neuropsychologique dans la langue maternelle de l’assurée avec des tests de validation des symptômes.</w:t>
      </w:r>
    </w:p>
    <w:p>
      <w:r>
        <w:rPr>
          <w:b/>
        </w:rPr>
        <w:t>E. 36</w:t>
      </w:r>
    </w:p>
    <w:p>
      <w:r>
        <w:t>Le 19 juin 2020, la recourante informée la chambre de céans ne pas avoir de motifs de récusation à valoir contre les experts désignés. Elle demandait que soient posées à ceux-ci les questions complémentaires suivantes à chacun des deux spécialistes : - quelles sont les effets secondaires induits par les médicaments pris régulièrement par l’assurée ? - ces effets ont-ils une influence sur les capacités fonctionnelles de l’assurée ? Si oui, lesquels ? La recourante a constaté que seule une expertise bidisciplinaire psychiatrique et rhumatologique était envisagée et qu’il n’avait pas été donné suite à sa demande d’expertise en médecine interne. Elle persistait dans cette demande, dès lors qu’il apparaissait que les aspects spécifiques découlant du VIH ne relevaient ni du volet psychiatrique, ni du volet rhumatologique, mais conservaient toute leur pertinence dans le cas de l’appréciation consensuelle du cas, qui impliquait de se déterminer sur les effets réciproques des différentes atteintes et traitement. EN DROIT</w:t>
      </w:r>
    </w:p>
    <w:p>
      <w:r>
        <w:t>A/3724/2018 - 15/35 - 1)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entière d'invalidité au-delà du 31 août 2017, plus particulièrement sur sa capacité de travail à partir du 24 mai 2017, ainsi que sur son statut.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citées ; VSI 2001 p. 157 consid. 2). Tout changement important des circonstances propres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6) Est réputée invalidité l'incapacité de gain totale ou partielle qui est présumée permanente ou de longue durée (art. 8 al. 1 LPGA).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A/3724/2018 - 16/35 - En vertu de l'art. 28 al. 2 LAI, l'assuré a droit à une rente entière s'il est invalide à 70 % au moins, à un trois-quarts de rente s'il est invalide à 60 % au moins, à une demi-rente s'il est invalide à 50 % au moins, ou à un quart de rente s'il est invalide à</w:t>
      </w:r>
    </w:p>
    <w:p>
      <w:r>
        <w:rPr>
          <w:b/>
        </w:rPr>
        <w:t>E. 40</w:t>
      </w:r>
    </w:p>
    <w:p>
      <w:r>
        <w:t>%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 b. L'évaluation des syndromes sans pathogenèse ni étiologie claires et sans constat de déficit organique ne fait pas l'objet d'un consensus médical (arrêt du Tribunal fédéral 9C_619/2012 du 9 juillet 2013 consid. 4.1).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w:t>
      </w:r>
    </w:p>
    <w:p>
      <w:r>
        <w:t>A/3724/2018 - 17/35 -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notamment à la fibromyalgie (ATF 132 V 65 consid. 4.1). Dans un arrêt du 3 juin 2015 publié aux ATF 141 V 281, le Tribunal fédéral a considéré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8) a. Dans sa jurisprudence récente (ATF 143 V 409 consid. 4.5 ;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w:t>
      </w:r>
    </w:p>
    <w:p>
      <w:r>
        <w:t>A/3724/2018 - 18/35 -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b. En outre, depuis un arrêt du Tribunal fédéral du 11 juillet 2019, les syndromes de dépendance et les troubles liés à la consommation de substances diagnostiqués lege artis par un spécialiste doivent également être considérés comme des atteintes psychiques à la santé significatives au sens du droit de l’assurance invalidité d’un point de vue médical (ATF 145 V 215 consid. 5.3.3 et 6). Ainsi, ils répondent aux mêmes principes applicables pour tous les autres troubles psychiques (ATF 145 V 215 consid 5.3.1 ; 141 V 281). c.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w:t>
      </w:r>
    </w:p>
    <w:p>
      <w:r>
        <w:t>A/3724/2018 - 19/35 -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standard qui doivent être pris en considération en règle générale conformément à l'ATF 141 V 281 peuvent être classés selon leurs caractéristiques communes : I. Catégorie « degré de gravité fonctionnelle » Les indicateurs relevant de cette catégorie représentent l'instrument de base de l'analyse. Les déductions qui en sont tirées devront, dans un second temps, résister à un examen de la cohérence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t>A/3724/2018 - 20/35 - 3.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Dans l'ATF 143 V 418, le Tribunal fédéral a examiné dans quelle mesure des troubles psychiques en tant que comorbidités d'un trouble somatoforme douloureux, doivent être pris en considération pour examiner le caractère invalidant du trouble somatoforme douloureux. Il a précisé que même si ces troubles psychiques, pris séparément, ne sont pas invalidants en application de la nouvelle jurisprudence publiée aux ATF 141 V 281, ils sont relevants dans l'appréciation globale de la capacité de travail d'une personne atteinte d'un trouble somatoforme douloureux.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w:t>
      </w:r>
    </w:p>
    <w:p>
      <w:r>
        <w:t>A/3724/2018 - 21/35 -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d.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Pour des motifs de proportionnalité, on peut renoncer à une telle évaluation si elle n'est pas nécessaire ou si elle est inappropriée. Il en va notamment ainsi lorsqu'il</w:t>
      </w:r>
    </w:p>
    <w:p>
      <w:r>
        <w:t>A/3724/2018 - 22/35 -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 citées).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A/3724/2018 - 23/35 -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b. Sans remettre en cause le principe de la libre appréciation des preuves, le Tribunal fédéral des assurances a posé des lignes directrices en ce qui concerne la manière d'apprécier certains types d'expertises ou de rapports médicaux. b/a.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w:t>
      </w:r>
    </w:p>
    <w:p>
      <w:r>
        <w:t>A/3724/2018 - 24/35 -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b/c.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citées).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w:t>
      </w:r>
    </w:p>
    <w:p>
      <w:r>
        <w:t>A/3724/2018 - 25/35 -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arrêt du Tribunal fédéral 9C_797/2017 du 22 mars 2018 consid. 4.2).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14) a. En l'espèce, dans sa décision du 25 septembre 2018, l'intimé, se ralliant à l'avis des Drs J______ et K______ du 19 septembre 2017, ainsi qu'à celui de la Dresse N______ du 19 avril 2018, a considéré qu'à compter du mois de mai 2017, la recourante avait recouvré une capacité de travail entière dans toute activité. Cette dernière le conteste en invoquant les avis convergents de ses médecin et psychiatre traitants, ainsi que celui du Dr M______, en lien avec l'examen neuropsychologique et neurocomportemental effectué le 6 décembre 2018. Elle s'estime pour sa part incapable d'exercer la moindre activité depuis le mois de septembre 2015, sans interruption, et sollicite ainsi l'octroi d'une rente d'invalidité au-delà du 31 août 2017. b. Dans ce contexte, il convient d'examiner en premier lieu la valeur probante du rapport d'examen du SMR du 19 septembre 2017. Au terme de celui-ci, les Drs J______ et K______ ont posé le diagnostic avec une répercussion durable sur la capacité de travail, d'épisodes récurrents de dépression réactionnelle, en rémission complète, ainsi que ceux, sans répercussion sur la capacité de travail, de fibromyalgie, de troubles mentaux et du comportement liés à l'utilisation en continue de sédatifs ou d'hypnotiques, une évolution dysthymique</w:t>
      </w:r>
    </w:p>
    <w:p>
      <w:r>
        <w:t>A/3724/2018 - 26/35 - d'intensité légère et des difficultés liées à de possibles sévices physiques infligés à un enfant. Sur le plan rhumatologique, il faut constater que le Dr J______ s'est écarté des conclusions de la Dresse G______, en se fondant sur l'avis du Prof. L______ du 11 mai 2015 retenant un syndrome fibromyalgique au lieu d'une polyarthrite rhumatoïde, et en considérant que le tableau algique n'était pas caractéristique d'une fasciite plantaire. Il a ainsi estimé que la recourante présentait uniquement une fibromyalgie, sans répercussion sur la capacité de travail. Cependant, dans son rapport subséquent du 1er février 2016, la Dresse G______ a maintenu ses diagnostics, soit une séropositivité au VIH, la fibromyalgie, un état dépressif, une polyarthrite rhumatoïde et une fasciite plantaire chronique, en indiquant que les limitations fonctionnelles de la recourante étaient des douleurs articulaires, une fatigabilité et un manque d'élan vital. Dans son rapport du 28 février 2018, la Dresse G______ a confirmé que l'état de santé de la recourante était identique avant et depuis le mois d'août 2017. En outre, elle a relevé, dans son rapport du 22 octobre 2018, que le SMR n'avait pas retenu d'influence sur la capacité de travail de la fibromyalgie, alors que les douleurs de cette pathologie étaient décrites comme n'étant pas systématiquement reproductibles. Il apparaît en effet que si le Dr J______ a pris note de cette variabilité au cours de l'examen, il n'en a toutefois pas tenu compte dans le cadre de l'appréciation de la capacité de travail de la recourante. De plus, le constat opéré l'a été uniquement sur la base de l'état de la recourante aux deux seuls jours où elle s'est présentée à l'examen du SMR, tandis que la Dresse G______ la suit depuis – à tout le moins – le mois de mai 2015. Finalement, aucune description ni appréciation des douleurs de la recourante ne permet d'apprécier en quoi elles ne sont pas représentatives d'une fasciite plantaire et pour quels motifs, celle-ci a été écartée. Sur le plan psychiatrique, la Dresse K______ a retenu que, dans le cadre des douleurs chroniques, de la séropositivité au VIH et de la violence de son mari, la recourante développait une symptomatologie dépressive réactionnelle, alors en rémission complète. En dépit des éléments ressortant du rapport en question, en particulier de l'anamnèse et des plaintes de l'intéressée, selon lesquelles celle-ci n'entretient aucun contact social et se repose principalement sur ses médecins traitants, l'aide sociale et sa fille mineure pour faire face à ses obligations essentielles, la Dresse K______ a estimé qu'elle restait capable de faire face aux exigences de la vie quotidienne et d'assumer ses responsabilités, sans se prononcer sur sa fatigabilité. Bien que la Dresse K______ ait relevé que la plupart du temps, la recourante se sentait déprimée et fatiguée, que tout lui coûtait et rien ne lui était agréable, elle a indiqué que la symptomatologie mentionnée par le Dr F______ était en rémission complète. Elle n'a toutefois constaté aucune amélioration de l'état de santé de la recourante. Le seul fait que cette dernière était restée assise durant deux heures pendant l'entretien, sans changer de position, lui a permis de retenir qu'elle ne souffrait pas de troubles de la mémoire, de la concentration ou de l'attention, ni</w:t>
      </w:r>
    </w:p>
    <w:p>
      <w:r>
        <w:t>A/3724/2018 - 27/35 - de ralentissement psychomoteur. Ceci, alors même que le psychiatre traitant a fait part, à réitérées reprises, de troubles thymiques persistants, tels que tristesse, anxiété, irritabilité, asthénie et anhédonie. La contradiction se poursuit lorsque la Dresse K______ attribue néanmoins les troubles mentaux et du comportement de la recourante – qu'elle considère dans le même temps comme inexistants – à l'utilisation en continue de sédatifs ou d'hypnotiques, sans examiner si celle-ci s'avérait nécessaire en raison de ses autres pathologies, ni les interférences entre ses différents traitements afin de soigner sa séropositivité au VIH. À cet égard, si les médecins traitants de la recourante s'accordent sur le fait que sa séropositivité au VIH n'affecte pas sa capacité de travail, ils admettent cependant que le traitement y relatif n'est pas sans conséquence sur son état de santé psychologique. Tandis que le Dr M______ avait préconisé de procéder à un bilan neuropsychologique extensif en raison du pourcentage élevé des patients affectés par le VIH présentant des atteintes neurocognitives, la Dresse N______ a dénié toute nécessité d'en effectuer un, en prenant pour seule référence les observations de la Dresse K______. Or, le rapport d'examen neuropsychologique et neurocomportemental des HUG du 6 décembre 2018 a effectivement mis en évidence une fatigabilité, un ralentissement psychomoteur, une symptomatologie anxio-dépressive, des difficultés au niveau du langage oral, des scores sévèrement déficitaires dans une épreuve de mémoire épisodique verbale, des troubles attentionnels et une altération de la mémoire à court terme. Ainsi, entre le 19 septembre 2017 et le 25 septembre 2018, l'intimé s'est contenté de solliciter un avis du SMR, en refusant à tort toute investigation d'éventuels troubles neurocognitifs alors que cet aspect avait été soulevé par le Dr M______ avant la notification de la décision querellée. Quant aux facteurs étrangers à l'invalidité, tels que le chômage, la situation économique difficile, les compétences linguistiques déficientes, l'âge, le niveau de formation ou les facteurs socio-culturels, ainsi que la démotivation de l'assurée, leur exclusion ne saurait suffire à justifier que la recourante bénéficie des ressources personnelles d'adaptation au changement, ainsi que de ressources disponibles ou mobilisables, du soutien de sa fille, de son médecin, du service social et d'une bonne adhésion à la thérapie. On en veut pour preuve que, malgré sa volonté, son état de santé ne lui a même pas permis d'assister de manière régulière à ses cours de français. C'est sans compter le fait que de se rendre à une consultation médicale constitue déjà pour elle une source de fatigue. Compte tenu de ce qui précède et de l'ensemble des rapports médicaux versés au dossier, force est de constater qu'aucune valeur probante ne saurait être accordée au rapport d'examen du SMR du 19 septembre 2017, de sorte qu'en l'état, la question de la conformité de celui-ci aux indicateurs jurisprudentiels susrappelés peut souffrir de demeurer indécise. c. Par conséquent, vu les conclusions contradictoires des médecins du SMR et des médecins traitants de la recourante, il se justifie d'ordonner une expertise psychiatrique et rhumatologique de celle-ci. En l'état, il n'apparaît pas nécessaire de</w:t>
      </w:r>
    </w:p>
    <w:p>
      <w:r>
        <w:t>A/3724/2018 - 28/35 - procéder à une expertise par un spécialiste en neurologie ou neuropsychologie ni en médecine interne, mais de tels examens pourraient être ordonnés par les experts, s’ils les estiment nécessaires. L'expertise psychiatrique sera confiée à la Dresse P______ et l'expertise rhumatologique, au Dr Q______, lesquels devront également intégrer dans leurs expertise l'impact de la séropositivité au VIH de la recourante sur ses éventuelles pathologies. Les questions complémentaires requises par les parties seront intégrées à la mission d’expertise, sous réserve du fait qu’il sera laissé à l’experte psychiatre de décider de la nécessité d’effectuer un bilan neuropsychologique de l’assurée.</w:t>
      </w:r>
    </w:p>
    <w:p>
      <w:r>
        <w:t>A/3724/2018 - 29/35 - PAR CES MOTIFS, LA CHAMBRE DES ASSURANCES SOCIALES : Statuant préparatoirement Ordonne une expertise psychiatrique et rhumatologique de Madame A______. Commet à ces fins les docteurs P______, spécialiste FMH en psychiatrie et psychothérapie, et Q______, spécialiste FMH en rhumatologie.</w:t>
      </w:r>
    </w:p>
    <w:p>
      <w:r>
        <w:t>Expertise psychiatrique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d) dire s’il est nécessaire d’ordonner d’autres examens, en particulier : - un examen par un neurologue ou un psychoneurologue, en particulier un bilan neuropsychologique (dans la langue maternelle de l’assurée avec des tests de validation des symptômes en cas de suspicion de trouble cognitif) ? - un examen par un spécialiste en médecine interne ? e) demander les examens complémentaires nécessaires.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w:t>
      </w:r>
    </w:p>
    <w:p>
      <w:r>
        <w:t>A/3724/2018 - 30/35 - 7.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Quels sont les effets secondaires induits par les médicaments pris régulièrement par l’assurée, notamment le traitement psychotrope de l’assurée (benzodiazépines) ? 10. Ces effets secondaires ont-ils une influence sur les capacités fonctionnelles de l’assurée ? Si oui, lesquels ? 11.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12. Dans l’affirmative, considérez-vous que cela suffise à exclure une atteinte à la santé significative ? 13. Quels ont été les traitements entrepris et avec quel succès (évolution et résultats des thérapies) ? 14. L’assurée a-t-elle fait preuve de résistance à l’égard des traitements proposés ? La compliance est-elle bonne ? 15. Dans quelle mesure les traitements ont-ils été mis à profit ou négligés ? 16. En cas de traitement psychotrope, notamment d’antidépresseurs, vérifier la compliance de l’assurée à l’aide d’un dosage sérologique. 17. Les troubles psychiques constatés nécessitent-ils une prise en charge spécialisée ? 18. Existe-t-il un trouble de la personnalité ou une altération des capacités inhérentes à la personnalité ? 19.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20. De quelles ressources mobilisables l’assurée dispose-t-elle ?</w:t>
      </w:r>
    </w:p>
    <w:p>
      <w:r>
        <w:t>A/3724/2018 - 31/35 - 21. Quel est le contexte social ? L’assurée peut-elle compter sur le soutien de ses proches ? 22. Pour le cas où il y aurait refus ou mauvaise acceptation d’une thérapie recommandée et accessible : cette attitude doit-elle être attribuée à une incapacité de l’assurée à reconnaître sa maladie ? 23. Dans l’ensemble, le comportement de l’assurée vous semble-t-il cohérent ? Pourquoi ? 24. Les limitations du niveau d’activité sont-elles uniformes dans tous les domaines (professionnel mais aussi personnel) ? Quel est le niveau d’activité sociale et comment a-t-il évolué depuis la survenance de l’atteinte à la santé ? 25. Mentionner, pour chaque diagnostic posé, les limitations fonctionnelles qu’il entraîne a) dans l’activité habituelle, b) dans une activité adaptée. 26. Mentionner globalement les conséquences des divers diagnostics retenus sur la capacité de travail de l’assurée, en pourcent, a) dans l’activité habituelle, b) dans une activité adaptée. 27. Dater la survenance de l’incapacité de travail durable, indiquer l'évolution de son taux et décrire son évolution. 28. Évaluer la capacité de travail en pourcent dans une activité adaptée aux limitations fonctionnelles (en remontant jusqu’au 14 août 2009), indiquer depuis quand une telle activité est exigible et comment elle a évolué dans le temps. 29. a) Dire s'il y a une diminution de rendement et la chiffrer. b) Si une diminution de rendement est retenue, celle-ci est-elle déjà incluse dans une éventuelle réduction de la capacité de travail ou vient-elle en sus ? 30. Évaluer la possibilité d'améliorer la capacité de travail par des mesures médicales. Indiquer quelles seraient les propositions thérapeutiques et leur influence sur la capacité de travail. 31. a) Êtes-vous d'accord avec les conclusions consensuelle et individuelles des Drs J______ et K______ (rapport du 19 septembre 2017)? Indiquer pour quelles raisons leurs avis sont confirmés ou écartés.</w:t>
      </w:r>
    </w:p>
    <w:p>
      <w:r>
        <w:t>A/3724/2018 - 32/35 - b) Êtes-vous d'accord avec les conclusions du Dr F______ (rapports des 14 octobre 2015, 8 mars 2016, 28 février et 23 octobre 2018) ? Indiquer pour quelles raisons ces avis sont confirmés ou écartés. c) Êtes-vous d'accord avec les conclusions de la Dresse G______ (rapports des 1er février 2016, 23 février et 22 octobre 2018)? Indiquer pour quelles raisons ces avis sont confirmés ou écartés. d) Êtes-vous d'accord avec les conclusions du Dr M______ (rapport du 1er mars 2018, en lien avec le rapport d'examen neuropsychologique et neurocomportemental des HUG du 6 décembre 2018)? Indiquer pour quelles raisons ces avis sont confirmés ou écartés. 32. Indiquer si des mesures de réadaptation professionnelles sont envisageables. 33. Formuler un pronostic global. 34. Toute remarque utile et proposition de l'expert. 3. Invite l’experte à faire une appréciation consensuelle du cas avec l’expert rhumatologue s’agissant de toutes les problématiques ayant des interférences entre elles, notamment l’appréciation de la capacité de travail résiduelle. 4. Invite l’experte à déposer, dans les meilleurs délais, un rapport en trois exemplaires à la chambre de céans.</w:t>
      </w:r>
    </w:p>
    <w:p>
      <w:r>
        <w:t>Expertise rhumatologique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dire s’il est nécessaire d’ordonner d’autres examens, en particulier : - un examen par un neurologue ? - un examen par un spécialiste en médecine interne ? e) demander les examens complémentaires nécessaires. 2. Charge l’expert d’établir un rapport détaillé et de répondre aux questions suivantes : 1. Anamnèse détaillée.</w:t>
      </w:r>
    </w:p>
    <w:p>
      <w:r>
        <w:t>A/3724/2018 - 33/35 - 2.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Quels sont les effets secondaires induits par les médicaments pris régulièrement par l’assurée ? 10. Ces effets secondaires ont-ils une influence sur les capacités fonctionnelles de l’assurée ? Si oui, lesquels ? 11.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12. Dans l’affirmative, considérez-vous que cela suffise à exclure une atteinte à la santé significative ? 13. Quels ont été les traitements entrepris et avec quel succès (évolution et résultats des thérapies) ? 14. L’assurée a-t-elle fait preuve de résistance à l’égard des traitements proposés ? La compliance est-elle bonne ? 15. Dans quelle mesure les traitements ont-ils été mis à profit ou négligés ? 16. Les limitations du niveau d’activité sont-elles uniformes dans tous les domaines (professionnel mais aussi personnel) ? Quel est le niveau d’activité sociale et comment a-t-il évolué depuis la survenance de l’atteinte à la santé ?</w:t>
      </w:r>
    </w:p>
    <w:p>
      <w:r>
        <w:t>A/3724/2018 - 34/35 - 17. Mentionner, pour chaque diagnostic posé, les limitations fonctionnelles qu’il entraîne a) dans l’activité habituelle, b) dans une activité adaptée. 18. Mentionner globalement les conséquences des divers diagnostics retenus sur la capacité de travail de l’assurée, en pourcent, a) dans l’activité habituelle, b) dans une activité adaptée. 19. Dater la survenance de l’incapacité de travail durable, indiquer l'évolution de son taux et décrire son évolution. 20. Évaluer la capacité de travail en pourcent dans une activité adaptée aux limitations fonctionnelles (en remontant jusqu’au 14 août 2009), indiquer depuis quand une telle activité est exigible et comment elle a évolué dans le temps. 21. a) Dire s'il y a une diminution de rendement et la chiffrer. b) Si une diminution de rendement est retenue, celle-ci est-elle déjà incluse dans une éventuelle réduction de la capacité de travail ou vient- elle en sus ? 22. Évaluer la possibilité d'améliorer la capacité de travail par des mesures médicales. Indiquer quelles seraient les propositions thérapeutiques et leur influence sur la capacité de travail. 23. a) Êtes-vous d'accord avec les conclusions consensuelle et individuelles des Drs J______ et K______ (rapport du 19 septembre 2017)? Indiquer pour quelles raisons leurs avis sont confirmés ou écartés. b) Êtes-vous d'accord avec les conclusions du Prof. L______ (rapport du 11 mai 2015)? Indiquer pour quelles raisons cet avis est confirmé ou écarté. c) Êtes-vous d'accord avec les conclusions de la Dresse G______ (rapports des 1er février 2016, 23 février et 22 octobre 2018)? Indiquer pour quelles raisons ces avis sont confirmés ou écartés. 24. Indiquer si des mesures de réadaptation professionnelles sont envisageables. 25. Formuler un pronostic global. 26. Toute remarque utile et proposition de l'expert. 3. Invite l’expert à faire une appréciation consensuelle du cas avec l’experte psychiatre s’agissant de toutes les problématiques ayant des interférences entre elles, notamment l’appréciation de la capacité de travail résiduelle.</w:t>
      </w:r>
    </w:p>
    <w:p>
      <w:r>
        <w:t>A/3724/2018 - 35/35 - 4. Invite l’expert à déposer, dans les meilleurs délais, un rapport en trois exemplaires à la chambre de céans.</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