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ATAS/564/2018 vom 25. Juni 2018</w:t>
      </w:r>
    </w:p>
    <w:p>
      <w:r>
        <w:t>GE Cour de justice, 2018-06-25, FR</w:t>
      </w:r>
    </w:p>
    <w:p>
      <w:r>
        <w:rPr>
          <w:b/>
        </w:rPr>
        <w:t xml:space="preserve">Quelle: </w:t>
      </w:r>
      <w:r>
        <w:t>https://mcp.opencaselaw.ch/entscheid/ge_gerichte_ATAS_564_2018</w:t>
      </w:r>
    </w:p>
    <w:p>
      <w:r>
        <w:t>FR: GE_GERICHTE ATAS/564/2018 du 25 juin 2018</w:t>
      </w:r>
    </w:p>
    <w:p>
      <w:r>
        <w:t>IT: GE_GERICHTE ATAS/564/2018 del 25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à l'assurance- chômage obligatoire, à moins que la LACI n’y déroge expressément (art. 1 al. 1 LACI).</w:t>
      </w:r>
    </w:p>
    <w:p>
      <w:r>
        <w:rPr>
          <w:b/>
        </w:rPr>
        <w:t>E. 3</w:t>
      </w:r>
    </w:p>
    <w:p>
      <w:r>
        <w:t>Interjeté dans les forme et délai prescrits par la loi, le recours est recevable (art. 56 à 61 LPGA).</w:t>
      </w:r>
    </w:p>
    <w:p>
      <w:r>
        <w:rPr>
          <w:b/>
        </w:rPr>
        <w:t>E. 4</w:t>
      </w:r>
    </w:p>
    <w:p>
      <w:r>
        <w:t>Le litige porte sur le bien-fondé de la suspension de 6 jours de l’indemnité de chômage infligée au recourant pour ne pas avoir donné suite à l'assignation du 18 octobre 2017.</w:t>
      </w:r>
    </w:p>
    <w:p>
      <w:r>
        <w:rPr>
          <w:b/>
        </w:rPr>
        <w:t>E. 5</w:t>
      </w:r>
    </w:p>
    <w:p>
      <w:r>
        <w:t>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w:t>
      </w:r>
    </w:p>
    <w:p>
      <w:r>
        <w:t>A/960/2018 - 5/9 -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Il convient en général d’accorder la préférence aux premières déclarations de l’assuré, faites alors qu’il en ignorait peut-être les conséquences juridiques, les</w:t>
      </w:r>
    </w:p>
    <w:p>
      <w:r>
        <w:t>A/960/2018 - 6/9 - explications nouvelles pouvant être – consciemment ou non – le fruit de réflexions ultérieures (ATF 121 V 47 consid. 2a ; 115 V 143 consid. 8c).</w:t>
      </w:r>
    </w:p>
    <w:p>
      <w:r>
        <w:rPr>
          <w:b/>
        </w:rPr>
        <w:t>E. 8</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Une faute grave conduit à la suspension du droit à l’indemnité pour une durée de 31 à 60 jours, à moins que l'assuré ne puisse se prévaloir de circonstances laissant apparaître la faute comme étant de gravité moyenne ou légère (art. 45 al. 2 et 3 OACI).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Lorsque la suspension infligée s'écarte de l'échelle des suspensions, l'autorité qui la prononce doit assortir sa décision d'un exposé des motifs justifiant sa sévérité ou sa clémence particulière (Bulletin LACI D72). Selon l'échelle des suspensions établie par le SECO à l'intention de l'autorité cantonale et des ORP, le refus d'un emploi convenable ou d'un emploi en gain intermédiaire pour une durée de deux mois assigné à l'assuré, ou qu'il a trouvé lui- même, est sanctionné, pour un premier refus, par une suspension du droit à l'indemnité de 20 à 27 jours (faute moyenne). Au deuxième refus, l'assuré est averti que la prochaine fois son aptitude au placement sera réexaminé et la sanction est augmentée de 50% (Bulletin LACI D79/ 2.A.5).</w:t>
      </w:r>
    </w:p>
    <w:p>
      <w:r>
        <w:rPr>
          <w:b/>
        </w:rPr>
        <w:t>E. 9</w:t>
      </w:r>
    </w:p>
    <w:p>
      <w:r>
        <w:t>En l’espèce, le recourant ne conteste pas formellement le principe de la faute, mais considère la sanction infligée comme exagérée, et ne correspondant pas à la réalité. Il allègue que sa conseillère en personnel savait très bien qu'il est nul sur la</w:t>
      </w:r>
    </w:p>
    <w:p>
      <w:r>
        <w:t>A/960/2018 - 7/9 - nouvelle technologie et qu'il lui aurait précisé qu'il ne possède pas d'ordinateur à la maison car il ne sait pas l'utiliser. Il aurait précisé à sa conseillère qu'en cas d'urgence ou offres d'emploi, elle devait l'avertir par téléphone ou courrier postal et non par courriel car il ne comprend rien sur l'ordinateur. En l'occurrence, le recourant a modifié ses explications au cours de la procédure : dans un premier temps, il a expliqué à l'OCE, avoir adressé le justificatif de sa postulation à sa conseillère le 16 octobre 2017. Il annexait à son courrier la preuve de sa postulation, le 16 octobre même, à 0 heure 55. Il savait alors, quoi qu'il en soit, que cet envoi était tardif. Il avait d'ailleurs rempli la formule « suivi de postulation », en reconnaissant qu'il n'avait pas pris contact (dans les délais). Au stade de l'opposition, il n'a nullement allégué être incapable d'utiliser un ordinateur et pas non plus prétendu ne pas en disposer. Il n'a formulé aucun grief à l'encontre de sa conseillère en personnel. Au regard de la jurisprudence précitée, il y a lieu de donner la préférence à la première version du recourant, dans le cadre de la procédure administrative, plutôt que de retenir une argumentation nouvelle sur recours, laquelle n'était au demeurant rendue vraisemblable par aucun élément crédible. Au contraire, il avait en effet signé le plan d'action, par lequel il s'engageait expressément - et cet élément figurait quelques lignes à peine au-dessus de sa signature, et en caractères gras - à relever quotidiennement sa boîte e-mail privée pour prendre connaissance des communications de l'OCE et y donner suite dans les délais. Le dossier de l'intimé montre, au demeurant, que l'intéressé s'est adressé à de nombreuses reprises à sa conseillère en personnel par courriel, notamment pour lui adresser des certificats médicaux ; ces communications intervenaient à toute heure du jour ou de la nuit, tôt le matin comme en fin d'après- midi, ou après minuit, comme dans le cas d'espèce. De sorte qu'au degré de la vraisemblance prépondérante requise en matière d'assurances sociales, la chambre de céans retient que contrairement à ses derniers allégués, le recourant maîtrisait de manière à tout le moins suffisante l'ordinateur pour adresser des e-mails à des tiers. Il n'a du reste pas jugé utile de venir s'expliquer personnellement devant la chambre de céans, alors que la faculté lui avait été expressément donnée.</w:t>
      </w:r>
    </w:p>
    <w:p>
      <w:r>
        <w:rPr>
          <w:b/>
        </w:rPr>
        <w:t>E. 10</w:t>
      </w:r>
    </w:p>
    <w:p>
      <w:r>
        <w:t>Contrairement à ce qu'allègue le recourant, dans le cas d'espèce la sanction prononcée respecte largement le principe de la proportionnalité. Il faut tout d'abord relever que la décision entreprise apparaît particulièrement clémente, par rapport à la qualification des faits retenus par l'intimé : en effet, au regard de la jurisprudence susmentionnée, le comportement du recourant est dans la règle assimilée à un refus d'emploi convenable, car l'intéressé, en n'agissant pas dans le délai imparti, a compromis une possibilité de retrouver un emploi, ce qui en règle générale doit être qualifié de faute grave passible d'une suspension minimale de 31 jours du droit à l'indemnité. En effet, et contrairement à ce qu'à retenu l'intimé dans sa décision, le fait qu'en définitive l'employeur potentiel ait engagé quelqu'un d'autre importe peu : ce que vise le législateur et la jurisprudence dans le comportement incriminé est déjà le risque pris de manquer une occasion de retrouver un emploi. C'est donc très généreusement que l'intimé n'a retenu que la violation de prescription de l'autorité.</w:t>
      </w:r>
    </w:p>
    <w:p>
      <w:r>
        <w:t>A/960/2018 - 8/9 - Par rapport à cette qualification, la sanction infligée est contenue dans la fourchette de l'échelle des sanctions prévues pour un manquement tel que celui qui est reproché au recourant ; étant relevé qu'il s'agit d'une seconde sanction, justifiant une quotité de la suspension prononcée s'écartant du minimum prévu par les directives du SECO. Le recours est ainsi en tous points mal fondé.</w:t>
      </w:r>
    </w:p>
    <w:p>
      <w:r>
        <w:rPr>
          <w:b/>
        </w:rPr>
        <w:t>E. 11</w:t>
      </w:r>
    </w:p>
    <w:p>
      <w:r>
        <w:t>En conséquence, la décision querellée doit être confirmée et le recours rejeté.</w:t>
      </w:r>
    </w:p>
    <w:p>
      <w:r>
        <w:rPr>
          <w:b/>
        </w:rPr>
        <w:t>E. 12</w:t>
      </w:r>
    </w:p>
    <w:p>
      <w:r>
        <w:t>La procédure est gratuite (art. 61 let. g LPGA).</w:t>
      </w:r>
    </w:p>
    <w:p>
      <w:r>
        <w:t>A/960/2018 - 9/9 -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